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121" w:rsidRPr="003D4E1A" w:rsidRDefault="001D5121" w:rsidP="00F956F1">
      <w:pPr>
        <w:keepNext/>
        <w:keepLines/>
        <w:spacing w:before="120" w:after="480"/>
        <w:jc w:val="center"/>
        <w:rPr>
          <w:rFonts w:ascii="Calibri" w:hAnsi="Calibri" w:cs="Arial"/>
          <w:b/>
          <w:bCs/>
          <w:sz w:val="28"/>
          <w:szCs w:val="28"/>
        </w:rPr>
      </w:pPr>
      <w:r w:rsidRPr="003D4E1A">
        <w:rPr>
          <w:rFonts w:ascii="Calibri" w:hAnsi="Calibri" w:cs="Arial"/>
          <w:b/>
          <w:bCs/>
          <w:sz w:val="28"/>
          <w:szCs w:val="28"/>
        </w:rPr>
        <w:t>MARCHE N° …/E/DTI/2014</w:t>
      </w:r>
    </w:p>
    <w:p w:rsidR="001D5121" w:rsidRPr="003D4E1A" w:rsidRDefault="001D5121" w:rsidP="00E4478F">
      <w:pPr>
        <w:keepNext/>
        <w:keepLines/>
        <w:spacing w:before="120" w:after="480"/>
        <w:jc w:val="center"/>
        <w:rPr>
          <w:rFonts w:ascii="Calibri" w:hAnsi="Calibri" w:cs="Arial"/>
          <w:sz w:val="28"/>
          <w:szCs w:val="28"/>
        </w:rPr>
      </w:pPr>
      <w:r w:rsidRPr="003D4E1A">
        <w:rPr>
          <w:rFonts w:ascii="Calibri" w:hAnsi="Calibri" w:cs="Arial"/>
          <w:b/>
          <w:bCs/>
          <w:sz w:val="28"/>
          <w:szCs w:val="28"/>
        </w:rPr>
        <w:t xml:space="preserve">AEP DE </w:t>
      </w:r>
      <w:smartTag w:uri="urn:schemas-microsoft-com:office:smarttags" w:element="PersonName">
        <w:smartTagPr>
          <w:attr w:name="ProductID" w:val="LA PROVINCE DE"/>
        </w:smartTagPr>
        <w:r w:rsidRPr="003D4E1A">
          <w:rPr>
            <w:rFonts w:ascii="Calibri" w:hAnsi="Calibri" w:cs="Arial"/>
            <w:b/>
            <w:bCs/>
            <w:sz w:val="28"/>
            <w:szCs w:val="28"/>
          </w:rPr>
          <w:t>LA PROVINCE DE</w:t>
        </w:r>
      </w:smartTag>
      <w:r w:rsidRPr="003D4E1A">
        <w:rPr>
          <w:rFonts w:ascii="Calibri" w:hAnsi="Calibri" w:cs="Arial"/>
          <w:b/>
          <w:bCs/>
          <w:sz w:val="28"/>
          <w:szCs w:val="28"/>
        </w:rPr>
        <w:t xml:space="preserve"> CHICHAOUA À PARTIR DU BARRAGE ABOU AL ABBAS </w:t>
      </w:r>
      <w:r>
        <w:rPr>
          <w:rFonts w:ascii="Calibri" w:hAnsi="Calibri" w:cs="Arial"/>
          <w:b/>
          <w:bCs/>
          <w:sz w:val="28"/>
          <w:szCs w:val="28"/>
        </w:rPr>
        <w:t>E</w:t>
      </w:r>
      <w:r w:rsidRPr="003D4E1A">
        <w:rPr>
          <w:rFonts w:ascii="Calibri" w:hAnsi="Calibri" w:cs="Arial"/>
          <w:b/>
          <w:bCs/>
          <w:sz w:val="28"/>
          <w:szCs w:val="28"/>
        </w:rPr>
        <w:t>SSABTI</w:t>
      </w:r>
      <w:r w:rsidRPr="003D4E1A">
        <w:rPr>
          <w:rFonts w:ascii="Calibri" w:hAnsi="Calibri" w:cs="Arial"/>
          <w:b/>
          <w:bCs/>
          <w:sz w:val="28"/>
          <w:szCs w:val="28"/>
        </w:rPr>
        <w:br/>
        <w:t>LOT N°1: STATIO</w:t>
      </w:r>
      <w:r>
        <w:rPr>
          <w:rFonts w:ascii="Calibri" w:hAnsi="Calibri" w:cs="Arial"/>
          <w:b/>
          <w:bCs/>
          <w:sz w:val="28"/>
          <w:szCs w:val="28"/>
        </w:rPr>
        <w:t>N</w:t>
      </w:r>
      <w:r w:rsidRPr="003D4E1A">
        <w:rPr>
          <w:rFonts w:ascii="Calibri" w:hAnsi="Calibri" w:cs="Arial"/>
          <w:b/>
          <w:bCs/>
          <w:sz w:val="28"/>
          <w:szCs w:val="28"/>
        </w:rPr>
        <w:t xml:space="preserve"> DE TRAITEMENT</w:t>
      </w:r>
    </w:p>
    <w:p w:rsidR="001D5121" w:rsidRPr="003D4E1A" w:rsidRDefault="001D5121" w:rsidP="00286130">
      <w:pPr>
        <w:keepNext/>
        <w:keepLines/>
        <w:spacing w:before="120" w:after="240"/>
        <w:ind w:left="720" w:hanging="11"/>
        <w:jc w:val="both"/>
        <w:rPr>
          <w:rFonts w:ascii="Calibri" w:hAnsi="Calibri" w:cs="Arial"/>
          <w:sz w:val="22"/>
          <w:szCs w:val="22"/>
        </w:rPr>
      </w:pPr>
      <w:r w:rsidRPr="003D4E1A">
        <w:rPr>
          <w:rFonts w:ascii="Calibri" w:hAnsi="Calibri" w:cs="Arial"/>
          <w:sz w:val="22"/>
          <w:szCs w:val="22"/>
        </w:rPr>
        <w:t>Marché passé après</w:t>
      </w:r>
      <w:r w:rsidRPr="003D4E1A">
        <w:rPr>
          <w:rFonts w:ascii="Calibri" w:hAnsi="Calibri" w:cs="Arial"/>
          <w:color w:val="339966"/>
          <w:sz w:val="22"/>
          <w:szCs w:val="22"/>
        </w:rPr>
        <w:t xml:space="preserve"> </w:t>
      </w:r>
      <w:r w:rsidRPr="003D4E1A">
        <w:rPr>
          <w:rFonts w:ascii="Calibri" w:hAnsi="Calibri" w:cs="Arial"/>
          <w:sz w:val="22"/>
          <w:szCs w:val="22"/>
        </w:rPr>
        <w:t>appel d’offres ouvert sur offres des prix pour marché de conception- réalisation en application de l’alinéa 2, § 1 de l’art. 16 et (§) 1 de l’art. 17 et l’alinéa 3, § 3 de l’art. 17 &amp; l’art. 10 du règlement des achats de l’ONEE du 1</w:t>
      </w:r>
      <w:r w:rsidRPr="003D4E1A">
        <w:rPr>
          <w:rFonts w:ascii="Calibri" w:hAnsi="Calibri" w:cs="Arial"/>
          <w:sz w:val="22"/>
          <w:szCs w:val="22"/>
          <w:vertAlign w:val="superscript"/>
        </w:rPr>
        <w:t>er</w:t>
      </w:r>
      <w:r w:rsidRPr="003D4E1A">
        <w:rPr>
          <w:rFonts w:ascii="Calibri" w:hAnsi="Calibri" w:cs="Arial"/>
          <w:sz w:val="22"/>
          <w:szCs w:val="22"/>
        </w:rPr>
        <w:t xml:space="preserve"> janvier 2014.</w:t>
      </w:r>
    </w:p>
    <w:p w:rsidR="001D5121" w:rsidRPr="003D4E1A" w:rsidRDefault="001D5121" w:rsidP="00485A8F">
      <w:pPr>
        <w:pStyle w:val="Heading5"/>
        <w:numPr>
          <w:ilvl w:val="4"/>
          <w:numId w:val="18"/>
        </w:numPr>
        <w:ind w:left="1009" w:firstLine="0"/>
        <w:rPr>
          <w:rFonts w:ascii="Calibri" w:hAnsi="Calibri"/>
          <w:szCs w:val="22"/>
        </w:rPr>
      </w:pPr>
      <w:r w:rsidRPr="003D4E1A">
        <w:rPr>
          <w:rFonts w:ascii="Calibri" w:hAnsi="Calibri"/>
          <w:szCs w:val="22"/>
        </w:rPr>
        <w:t>ENGAGEMENT DES PARTIES CONTRACTANTES</w:t>
      </w:r>
    </w:p>
    <w:p w:rsidR="001D5121" w:rsidRPr="003D4E1A" w:rsidRDefault="001D5121" w:rsidP="00485A8F">
      <w:pPr>
        <w:pStyle w:val="Heading5"/>
        <w:numPr>
          <w:ilvl w:val="4"/>
          <w:numId w:val="18"/>
        </w:numPr>
        <w:ind w:left="1009" w:firstLine="0"/>
        <w:rPr>
          <w:rFonts w:ascii="Calibri" w:hAnsi="Calibri"/>
          <w:szCs w:val="22"/>
        </w:rPr>
      </w:pPr>
      <w:r w:rsidRPr="003D4E1A">
        <w:rPr>
          <w:rFonts w:ascii="Calibri" w:hAnsi="Calibri"/>
          <w:szCs w:val="22"/>
        </w:rPr>
        <w:t>ENTRE</w:t>
      </w:r>
    </w:p>
    <w:p w:rsidR="001D5121" w:rsidRPr="003D4E1A" w:rsidRDefault="001D5121">
      <w:pPr>
        <w:rPr>
          <w:rFonts w:ascii="Calibri" w:hAnsi="Calibri"/>
          <w:sz w:val="22"/>
          <w:szCs w:val="22"/>
        </w:rPr>
      </w:pPr>
    </w:p>
    <w:p w:rsidR="001D5121" w:rsidRPr="003D4E1A" w:rsidRDefault="001D5121">
      <w:pPr>
        <w:keepNext/>
        <w:keepLines/>
        <w:spacing w:before="120" w:line="276" w:lineRule="auto"/>
        <w:ind w:left="720" w:hanging="11"/>
        <w:jc w:val="both"/>
        <w:rPr>
          <w:rFonts w:ascii="Calibri" w:hAnsi="Calibri" w:cs="Arial"/>
          <w:sz w:val="22"/>
          <w:szCs w:val="22"/>
        </w:rPr>
      </w:pPr>
      <w:r w:rsidRPr="003D4E1A">
        <w:rPr>
          <w:rFonts w:ascii="Calibri" w:hAnsi="Calibri" w:cs="Arial"/>
          <w:sz w:val="22"/>
          <w:szCs w:val="22"/>
        </w:rPr>
        <w:t xml:space="preserve">L’Office National de l’Electricité et de l’Eau Potable (ONEE) – Branche Eau, représenté </w:t>
      </w:r>
      <w:r w:rsidRPr="003D4E1A">
        <w:rPr>
          <w:rFonts w:ascii="Calibri" w:hAnsi="Calibri" w:cs="Arial"/>
          <w:sz w:val="22"/>
          <w:szCs w:val="22"/>
        </w:rPr>
        <w:br/>
        <w:t xml:space="preserve">par le Directeur Général de l’ONEE, Monsieur ALI FASSI FIHRI, faisant élection de domicile </w:t>
      </w:r>
      <w:r w:rsidRPr="003D4E1A">
        <w:rPr>
          <w:rFonts w:ascii="Calibri" w:hAnsi="Calibri" w:cs="Arial"/>
          <w:sz w:val="22"/>
          <w:szCs w:val="22"/>
        </w:rPr>
        <w:br/>
        <w:t xml:space="preserve">à Avenue Mohamed Belhassan El Ouazzani, Code postal 10220 - Rabat, </w:t>
      </w:r>
      <w:r w:rsidRPr="003D4E1A">
        <w:rPr>
          <w:rFonts w:ascii="Calibri" w:hAnsi="Calibri" w:cs="Arial"/>
          <w:sz w:val="22"/>
          <w:szCs w:val="22"/>
        </w:rPr>
        <w:br/>
        <w:t>désigné ci-après par ONEE – Branche Eau ou maître d’ouvrage</w:t>
      </w:r>
    </w:p>
    <w:p w:rsidR="001D5121" w:rsidRPr="003D4E1A" w:rsidRDefault="001D5121">
      <w:pPr>
        <w:keepNext/>
        <w:keepLines/>
        <w:spacing w:before="120"/>
        <w:ind w:left="720" w:hanging="11"/>
        <w:jc w:val="right"/>
        <w:rPr>
          <w:rFonts w:ascii="Calibri" w:hAnsi="Calibri" w:cs="Arial"/>
          <w:b/>
          <w:sz w:val="22"/>
          <w:szCs w:val="22"/>
        </w:rPr>
      </w:pPr>
      <w:r w:rsidRPr="003D4E1A">
        <w:rPr>
          <w:rFonts w:ascii="Calibri" w:hAnsi="Calibri" w:cs="Arial"/>
          <w:b/>
          <w:sz w:val="22"/>
          <w:szCs w:val="22"/>
        </w:rPr>
        <w:t>d’une part,</w:t>
      </w:r>
    </w:p>
    <w:p w:rsidR="001D5121" w:rsidRPr="003D4E1A" w:rsidRDefault="001D5121" w:rsidP="00485A8F">
      <w:pPr>
        <w:pStyle w:val="Heading5"/>
        <w:numPr>
          <w:ilvl w:val="4"/>
          <w:numId w:val="18"/>
        </w:numPr>
        <w:ind w:left="1009" w:firstLine="0"/>
        <w:rPr>
          <w:rFonts w:ascii="Calibri" w:hAnsi="Calibri"/>
          <w:szCs w:val="22"/>
        </w:rPr>
      </w:pPr>
      <w:r w:rsidRPr="003D4E1A">
        <w:rPr>
          <w:rFonts w:ascii="Calibri" w:hAnsi="Calibri"/>
          <w:szCs w:val="22"/>
        </w:rPr>
        <w:t>ET</w:t>
      </w:r>
    </w:p>
    <w:p w:rsidR="001D5121" w:rsidRPr="003D4E1A" w:rsidRDefault="001D5121" w:rsidP="00286130">
      <w:pPr>
        <w:keepNext/>
        <w:keepLines/>
        <w:spacing w:before="120" w:line="276" w:lineRule="auto"/>
        <w:ind w:left="720" w:hanging="11"/>
        <w:jc w:val="both"/>
        <w:rPr>
          <w:rFonts w:ascii="Calibri" w:hAnsi="Calibri" w:cs="Arial"/>
          <w:sz w:val="22"/>
          <w:szCs w:val="22"/>
        </w:rPr>
      </w:pPr>
      <w:r w:rsidRPr="003D4E1A">
        <w:rPr>
          <w:rFonts w:ascii="Calibri" w:hAnsi="Calibri" w:cs="Arial"/>
          <w:sz w:val="22"/>
          <w:szCs w:val="22"/>
        </w:rPr>
        <w:t xml:space="preserve">La société ……… </w:t>
      </w:r>
      <w:r w:rsidRPr="003D4E1A">
        <w:rPr>
          <w:rFonts w:ascii="Calibri" w:hAnsi="Calibri" w:cs="Arial"/>
          <w:i/>
          <w:color w:val="0000FF"/>
          <w:sz w:val="22"/>
          <w:szCs w:val="22"/>
        </w:rPr>
        <w:t>[A compléter par les renseignements du cocontractant (les noms et qualités des signataires), et ce selon les cas de figure (personne physique, personne moral ou groupement)]</w:t>
      </w:r>
      <w:r w:rsidRPr="003D4E1A">
        <w:rPr>
          <w:rFonts w:ascii="Calibri" w:hAnsi="Calibri" w:cs="Arial"/>
          <w:sz w:val="22"/>
          <w:szCs w:val="22"/>
        </w:rPr>
        <w:t xml:space="preserve">, </w:t>
      </w:r>
      <w:r w:rsidRPr="003D4E1A">
        <w:rPr>
          <w:rFonts w:ascii="Calibri" w:hAnsi="Calibri" w:cs="Arial"/>
          <w:sz w:val="22"/>
          <w:szCs w:val="22"/>
        </w:rPr>
        <w:br/>
        <w:t>désignée ci-après par l’Entrepreneur.</w:t>
      </w:r>
    </w:p>
    <w:p w:rsidR="001D5121" w:rsidRPr="003D4E1A" w:rsidRDefault="001D5121" w:rsidP="00DD5C43">
      <w:pPr>
        <w:keepNext/>
        <w:keepLines/>
        <w:spacing w:before="120" w:line="276" w:lineRule="auto"/>
        <w:ind w:left="720" w:hanging="11"/>
        <w:jc w:val="both"/>
        <w:rPr>
          <w:rFonts w:ascii="Calibri" w:hAnsi="Calibri" w:cs="Arial"/>
          <w:sz w:val="22"/>
          <w:szCs w:val="22"/>
        </w:rPr>
      </w:pPr>
      <w:r w:rsidRPr="003D4E1A">
        <w:rPr>
          <w:rFonts w:ascii="Calibri" w:hAnsi="Calibri" w:cs="Arial"/>
          <w:sz w:val="22"/>
          <w:szCs w:val="22"/>
        </w:rPr>
        <w:br/>
      </w:r>
    </w:p>
    <w:p w:rsidR="001D5121" w:rsidRPr="003D4E1A" w:rsidRDefault="001D5121">
      <w:pPr>
        <w:keepNext/>
        <w:keepLines/>
        <w:spacing w:before="120"/>
        <w:ind w:left="720" w:firstLine="720"/>
        <w:jc w:val="right"/>
        <w:rPr>
          <w:rFonts w:ascii="Calibri" w:hAnsi="Calibri" w:cs="Arial"/>
          <w:b/>
          <w:sz w:val="22"/>
          <w:szCs w:val="22"/>
        </w:rPr>
      </w:pPr>
      <w:r w:rsidRPr="003D4E1A">
        <w:rPr>
          <w:rFonts w:ascii="Calibri" w:hAnsi="Calibri" w:cs="Arial"/>
          <w:b/>
          <w:sz w:val="22"/>
          <w:szCs w:val="22"/>
        </w:rPr>
        <w:t>D’autre part,</w:t>
      </w:r>
    </w:p>
    <w:p w:rsidR="001D5121" w:rsidRPr="003D4E1A" w:rsidRDefault="001D5121">
      <w:pPr>
        <w:keepNext/>
        <w:keepLines/>
        <w:spacing w:before="120"/>
        <w:ind w:left="720" w:hanging="11"/>
        <w:jc w:val="center"/>
        <w:rPr>
          <w:rFonts w:ascii="Calibri" w:hAnsi="Calibri" w:cs="Arial"/>
          <w:b/>
          <w:sz w:val="20"/>
        </w:rPr>
      </w:pPr>
      <w:r w:rsidRPr="003D4E1A">
        <w:rPr>
          <w:rFonts w:ascii="Calibri" w:hAnsi="Calibri" w:cs="Arial"/>
          <w:b/>
          <w:sz w:val="20"/>
        </w:rPr>
        <w:br/>
      </w:r>
    </w:p>
    <w:p w:rsidR="001D5121" w:rsidRPr="003D4E1A" w:rsidRDefault="001D5121">
      <w:pPr>
        <w:keepNext/>
        <w:keepLines/>
        <w:spacing w:before="120"/>
        <w:ind w:left="720" w:hanging="11"/>
        <w:jc w:val="center"/>
        <w:rPr>
          <w:rFonts w:ascii="Calibri" w:hAnsi="Calibri" w:cs="Arial"/>
          <w:b/>
          <w:sz w:val="22"/>
        </w:rPr>
      </w:pPr>
      <w:r w:rsidRPr="003D4E1A">
        <w:rPr>
          <w:rFonts w:ascii="Calibri" w:hAnsi="Calibri" w:cs="Arial"/>
          <w:b/>
          <w:sz w:val="20"/>
        </w:rPr>
        <w:br/>
      </w:r>
      <w:r w:rsidRPr="003D4E1A">
        <w:rPr>
          <w:rFonts w:ascii="Calibri" w:hAnsi="Calibri" w:cs="Arial"/>
          <w:b/>
          <w:sz w:val="20"/>
        </w:rPr>
        <w:br/>
      </w:r>
      <w:r w:rsidRPr="003D4E1A">
        <w:rPr>
          <w:rFonts w:ascii="Calibri" w:hAnsi="Calibri" w:cs="Arial"/>
          <w:b/>
          <w:sz w:val="20"/>
        </w:rPr>
        <w:br/>
      </w:r>
      <w:r w:rsidRPr="003D4E1A">
        <w:rPr>
          <w:rFonts w:ascii="Calibri" w:hAnsi="Calibri" w:cs="Arial"/>
          <w:b/>
          <w:sz w:val="22"/>
        </w:rPr>
        <w:t>IL A ETE CONVENU ET ARRETE CE QUI SUIT</w:t>
      </w:r>
    </w:p>
    <w:p w:rsidR="001D5121" w:rsidRPr="003D4E1A" w:rsidRDefault="001D5121">
      <w:pPr>
        <w:keepNext/>
        <w:keepLines/>
        <w:rPr>
          <w:rFonts w:ascii="Calibri" w:hAnsi="Calibri" w:cs="Arial"/>
          <w:b/>
          <w:szCs w:val="22"/>
          <w:lang w:eastAsia="en-US"/>
        </w:rPr>
      </w:pPr>
    </w:p>
    <w:p w:rsidR="001D5121" w:rsidRPr="003D4E1A" w:rsidRDefault="001D5121">
      <w:pPr>
        <w:keepNext/>
        <w:keepLines/>
        <w:rPr>
          <w:rFonts w:ascii="Calibri" w:hAnsi="Calibri" w:cs="Arial"/>
          <w:b/>
          <w:sz w:val="22"/>
          <w:szCs w:val="22"/>
          <w:lang w:eastAsia="en-US"/>
        </w:rPr>
      </w:pPr>
      <w:r w:rsidRPr="003D4E1A">
        <w:rPr>
          <w:rFonts w:ascii="Calibri" w:hAnsi="Calibri" w:cs="Arial"/>
          <w:b/>
          <w:sz w:val="22"/>
          <w:szCs w:val="22"/>
          <w:lang w:eastAsia="en-US"/>
        </w:rPr>
        <w:br w:type="page"/>
      </w:r>
    </w:p>
    <w:p w:rsidR="001D5121" w:rsidRPr="003D4E1A" w:rsidRDefault="001D5121">
      <w:pPr>
        <w:keepNext/>
        <w:keepLines/>
        <w:spacing w:before="120"/>
        <w:jc w:val="center"/>
        <w:rPr>
          <w:rFonts w:ascii="Calibri" w:hAnsi="Calibri" w:cs="Arial"/>
          <w:b/>
          <w:sz w:val="22"/>
          <w:szCs w:val="22"/>
          <w:lang w:eastAsia="en-US"/>
        </w:rPr>
      </w:pPr>
    </w:p>
    <w:p w:rsidR="001D5121" w:rsidRPr="003D4E1A" w:rsidRDefault="001D5121">
      <w:pPr>
        <w:keepNext/>
        <w:keepLines/>
        <w:spacing w:before="120"/>
        <w:jc w:val="center"/>
        <w:rPr>
          <w:rFonts w:ascii="Calibri" w:hAnsi="Calibri" w:cs="Arial"/>
          <w:b/>
          <w:sz w:val="22"/>
          <w:szCs w:val="22"/>
          <w:lang w:eastAsia="en-US"/>
        </w:rPr>
      </w:pPr>
    </w:p>
    <w:p w:rsidR="001D5121" w:rsidRPr="003D4E1A" w:rsidRDefault="001D5121">
      <w:pPr>
        <w:keepNext/>
        <w:keepLines/>
        <w:spacing w:before="120"/>
        <w:jc w:val="both"/>
        <w:rPr>
          <w:rFonts w:ascii="Calibri" w:hAnsi="Calibri" w:cs="Arial"/>
          <w:b/>
          <w:sz w:val="18"/>
          <w:szCs w:val="18"/>
          <w:lang w:eastAsia="en-US"/>
        </w:rPr>
      </w:pPr>
      <w:r w:rsidRPr="003D4E1A">
        <w:rPr>
          <w:rFonts w:ascii="Calibri" w:hAnsi="Calibri" w:cs="Arial"/>
          <w:b/>
          <w:sz w:val="18"/>
          <w:szCs w:val="18"/>
          <w:lang w:eastAsia="en-US"/>
        </w:rPr>
        <w:t xml:space="preserve"> </w:t>
      </w: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jc w:val="center"/>
        <w:rPr>
          <w:rFonts w:ascii="Calibri" w:hAnsi="Calibri" w:cs="Lucida Sans Unicode"/>
          <w:b/>
          <w:sz w:val="40"/>
          <w:szCs w:val="40"/>
        </w:rPr>
      </w:pPr>
      <w:r w:rsidRPr="003D4E1A">
        <w:rPr>
          <w:rFonts w:ascii="Calibri" w:hAnsi="Calibri" w:cs="Lucida Sans Unicode"/>
          <w:b/>
          <w:sz w:val="40"/>
          <w:szCs w:val="40"/>
        </w:rPr>
        <w:t>Cahier des Clauses Administratives et Financières relatives aux marchés de travaux</w:t>
      </w:r>
    </w:p>
    <w:p w:rsidR="001D5121" w:rsidRPr="003D4E1A" w:rsidRDefault="001D5121">
      <w:pPr>
        <w:keepNext/>
        <w:keepLines/>
        <w:jc w:val="center"/>
        <w:rPr>
          <w:rFonts w:ascii="Calibri" w:hAnsi="Calibri" w:cs="Lucida Sans Unicode"/>
          <w:b/>
          <w:sz w:val="32"/>
          <w:szCs w:val="32"/>
        </w:rPr>
      </w:pPr>
      <w:r w:rsidRPr="003D4E1A">
        <w:rPr>
          <w:rFonts w:ascii="Calibri" w:hAnsi="Calibri" w:cs="Lucida Sans Unicode"/>
          <w:b/>
          <w:sz w:val="32"/>
          <w:szCs w:val="32"/>
        </w:rPr>
        <w:t>Clauses Particulières  (CCAFP)</w:t>
      </w: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center"/>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keepNext/>
        <w:keepLines/>
        <w:spacing w:before="120"/>
        <w:jc w:val="both"/>
        <w:rPr>
          <w:rFonts w:ascii="Calibri" w:hAnsi="Calibri" w:cs="Arial"/>
          <w:b/>
          <w:sz w:val="18"/>
          <w:szCs w:val="18"/>
          <w:lang w:eastAsia="en-US"/>
        </w:rPr>
      </w:pPr>
    </w:p>
    <w:p w:rsidR="001D5121" w:rsidRPr="003D4E1A" w:rsidRDefault="001D5121">
      <w:pPr>
        <w:spacing w:before="120"/>
        <w:jc w:val="both"/>
        <w:rPr>
          <w:rFonts w:ascii="Calibri" w:hAnsi="Calibri" w:cs="Arial"/>
          <w:b/>
          <w:sz w:val="18"/>
          <w:szCs w:val="18"/>
          <w:lang w:eastAsia="en-US"/>
        </w:rPr>
      </w:pPr>
    </w:p>
    <w:p w:rsidR="001D5121" w:rsidRPr="003D4E1A" w:rsidRDefault="001D5121">
      <w:pPr>
        <w:spacing w:before="120"/>
        <w:jc w:val="both"/>
        <w:rPr>
          <w:rFonts w:ascii="Calibri" w:hAnsi="Calibri" w:cs="Arial"/>
          <w:b/>
          <w:sz w:val="18"/>
          <w:szCs w:val="18"/>
          <w:lang w:eastAsia="en-US"/>
        </w:rPr>
      </w:pPr>
    </w:p>
    <w:p w:rsidR="001D5121" w:rsidRPr="003D4E1A" w:rsidRDefault="001D5121">
      <w:pPr>
        <w:pStyle w:val="Salutation"/>
        <w:jc w:val="center"/>
        <w:rPr>
          <w:rFonts w:ascii="Calibri" w:hAnsi="Calibri" w:cs="Arial"/>
          <w:b/>
          <w:bCs/>
          <w:sz w:val="18"/>
          <w:szCs w:val="18"/>
        </w:rPr>
      </w:pPr>
    </w:p>
    <w:p w:rsidR="001D5121" w:rsidRPr="003D4E1A" w:rsidRDefault="001D5121">
      <w:pPr>
        <w:pStyle w:val="Salutation"/>
        <w:keepNext/>
        <w:keepLines/>
        <w:spacing w:before="120" w:after="240"/>
        <w:jc w:val="center"/>
        <w:rPr>
          <w:rFonts w:ascii="Calibri" w:hAnsi="Calibri" w:cs="Arial"/>
          <w:b/>
          <w:bCs/>
          <w:sz w:val="20"/>
          <w:szCs w:val="20"/>
        </w:rPr>
      </w:pPr>
      <w:r w:rsidRPr="003D4E1A">
        <w:rPr>
          <w:rFonts w:ascii="Calibri" w:hAnsi="Calibri" w:cs="Arial"/>
          <w:b/>
          <w:bCs/>
          <w:sz w:val="32"/>
          <w:szCs w:val="20"/>
        </w:rPr>
        <w:t>Sommaire</w:t>
      </w:r>
    </w:p>
    <w:p w:rsidR="001D5121" w:rsidRDefault="001D5121">
      <w:pPr>
        <w:pStyle w:val="TOC2"/>
        <w:tabs>
          <w:tab w:val="right" w:leader="dot" w:pos="9631"/>
        </w:tabs>
        <w:rPr>
          <w:rFonts w:ascii="Times New Roman" w:hAnsi="Times New Roman"/>
          <w:smallCaps w:val="0"/>
          <w:noProof/>
          <w:sz w:val="24"/>
        </w:rPr>
      </w:pPr>
      <w:r w:rsidRPr="003D4E1A">
        <w:rPr>
          <w:b/>
          <w:sz w:val="24"/>
          <w:lang w:eastAsia="en-US"/>
        </w:rPr>
        <w:fldChar w:fldCharType="begin"/>
      </w:r>
      <w:r w:rsidRPr="003D4E1A">
        <w:rPr>
          <w:b/>
          <w:sz w:val="24"/>
          <w:lang w:eastAsia="en-US"/>
        </w:rPr>
        <w:instrText xml:space="preserve"> TOC \o "1-3" \h \z \u </w:instrText>
      </w:r>
      <w:r w:rsidRPr="003D4E1A">
        <w:rPr>
          <w:b/>
          <w:sz w:val="24"/>
          <w:lang w:eastAsia="en-US"/>
        </w:rPr>
        <w:fldChar w:fldCharType="separate"/>
      </w:r>
      <w:hyperlink w:anchor="_Toc379367160" w:history="1">
        <w:r w:rsidRPr="00405210">
          <w:rPr>
            <w:rStyle w:val="Hyperlink"/>
            <w:noProof/>
          </w:rPr>
          <w:t>CHAPITRE PRELIMINAIRE -  DISPOSITIONS GENERALES</w:t>
        </w:r>
        <w:r>
          <w:rPr>
            <w:noProof/>
            <w:webHidden/>
          </w:rPr>
          <w:tab/>
        </w:r>
        <w:r>
          <w:rPr>
            <w:noProof/>
            <w:webHidden/>
          </w:rPr>
          <w:fldChar w:fldCharType="begin"/>
        </w:r>
        <w:r>
          <w:rPr>
            <w:noProof/>
            <w:webHidden/>
          </w:rPr>
          <w:instrText xml:space="preserve"> PAGEREF _Toc379367160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1440"/>
          <w:tab w:val="right" w:leader="dot" w:pos="9631"/>
        </w:tabs>
        <w:rPr>
          <w:rFonts w:ascii="Times New Roman" w:hAnsi="Times New Roman"/>
          <w:smallCaps w:val="0"/>
          <w:noProof/>
          <w:sz w:val="24"/>
        </w:rPr>
      </w:pPr>
      <w:hyperlink w:anchor="_Toc379367161" w:history="1">
        <w:r w:rsidRPr="00405210">
          <w:rPr>
            <w:rStyle w:val="Hyperlink"/>
            <w:noProof/>
          </w:rPr>
          <w:t>Article 1.</w:t>
        </w:r>
        <w:r>
          <w:rPr>
            <w:rFonts w:ascii="Times New Roman" w:hAnsi="Times New Roman"/>
            <w:smallCaps w:val="0"/>
            <w:noProof/>
            <w:sz w:val="24"/>
          </w:rPr>
          <w:tab/>
        </w:r>
        <w:r w:rsidRPr="00405210">
          <w:rPr>
            <w:rStyle w:val="Hyperlink"/>
            <w:noProof/>
          </w:rPr>
          <w:t>Objet du marché</w:t>
        </w:r>
        <w:r>
          <w:rPr>
            <w:noProof/>
            <w:webHidden/>
          </w:rPr>
          <w:tab/>
        </w:r>
        <w:r>
          <w:rPr>
            <w:noProof/>
            <w:webHidden/>
          </w:rPr>
          <w:fldChar w:fldCharType="begin"/>
        </w:r>
        <w:r>
          <w:rPr>
            <w:noProof/>
            <w:webHidden/>
          </w:rPr>
          <w:instrText xml:space="preserve"> PAGEREF _Toc379367161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1440"/>
          <w:tab w:val="right" w:leader="dot" w:pos="9631"/>
        </w:tabs>
        <w:rPr>
          <w:rFonts w:ascii="Times New Roman" w:hAnsi="Times New Roman"/>
          <w:smallCaps w:val="0"/>
          <w:noProof/>
          <w:sz w:val="24"/>
        </w:rPr>
      </w:pPr>
      <w:hyperlink w:anchor="_Toc379367162" w:history="1">
        <w:r w:rsidRPr="00405210">
          <w:rPr>
            <w:rStyle w:val="Hyperlink"/>
            <w:noProof/>
          </w:rPr>
          <w:t>Article 4.</w:t>
        </w:r>
        <w:r>
          <w:rPr>
            <w:rFonts w:ascii="Times New Roman" w:hAnsi="Times New Roman"/>
            <w:smallCaps w:val="0"/>
            <w:noProof/>
            <w:sz w:val="24"/>
          </w:rPr>
          <w:tab/>
        </w:r>
        <w:r w:rsidRPr="00405210">
          <w:rPr>
            <w:rStyle w:val="Hyperlink"/>
            <w:noProof/>
          </w:rPr>
          <w:t>Pièces constitutives du marché</w:t>
        </w:r>
        <w:r>
          <w:rPr>
            <w:noProof/>
            <w:webHidden/>
          </w:rPr>
          <w:tab/>
        </w:r>
        <w:r>
          <w:rPr>
            <w:noProof/>
            <w:webHidden/>
          </w:rPr>
          <w:fldChar w:fldCharType="begin"/>
        </w:r>
        <w:r>
          <w:rPr>
            <w:noProof/>
            <w:webHidden/>
          </w:rPr>
          <w:instrText xml:space="preserve"> PAGEREF _Toc379367162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1440"/>
          <w:tab w:val="right" w:leader="dot" w:pos="9631"/>
        </w:tabs>
        <w:rPr>
          <w:rFonts w:ascii="Times New Roman" w:hAnsi="Times New Roman"/>
          <w:smallCaps w:val="0"/>
          <w:noProof/>
          <w:sz w:val="24"/>
        </w:rPr>
      </w:pPr>
      <w:hyperlink w:anchor="_Toc379367163" w:history="1">
        <w:r w:rsidRPr="00405210">
          <w:rPr>
            <w:rStyle w:val="Hyperlink"/>
            <w:noProof/>
          </w:rPr>
          <w:t>Article 5.</w:t>
        </w:r>
        <w:r>
          <w:rPr>
            <w:rFonts w:ascii="Times New Roman" w:hAnsi="Times New Roman"/>
            <w:smallCaps w:val="0"/>
            <w:noProof/>
            <w:sz w:val="24"/>
          </w:rPr>
          <w:tab/>
        </w:r>
        <w:r w:rsidRPr="00405210">
          <w:rPr>
            <w:rStyle w:val="Hyperlink"/>
            <w:noProof/>
          </w:rPr>
          <w:t>Documents annexés au marché</w:t>
        </w:r>
        <w:r>
          <w:rPr>
            <w:noProof/>
            <w:webHidden/>
          </w:rPr>
          <w:tab/>
        </w:r>
        <w:r>
          <w:rPr>
            <w:noProof/>
            <w:webHidden/>
          </w:rPr>
          <w:fldChar w:fldCharType="begin"/>
        </w:r>
        <w:r>
          <w:rPr>
            <w:noProof/>
            <w:webHidden/>
          </w:rPr>
          <w:instrText xml:space="preserve"> PAGEREF _Toc379367163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1440"/>
          <w:tab w:val="right" w:leader="dot" w:pos="9631"/>
        </w:tabs>
        <w:rPr>
          <w:rFonts w:ascii="Times New Roman" w:hAnsi="Times New Roman"/>
          <w:smallCaps w:val="0"/>
          <w:noProof/>
          <w:sz w:val="24"/>
        </w:rPr>
      </w:pPr>
      <w:hyperlink w:anchor="_Toc379367164" w:history="1">
        <w:r w:rsidRPr="00405210">
          <w:rPr>
            <w:rStyle w:val="Hyperlink"/>
            <w:noProof/>
          </w:rPr>
          <w:t>Article 6.</w:t>
        </w:r>
        <w:r>
          <w:rPr>
            <w:rFonts w:ascii="Times New Roman" w:hAnsi="Times New Roman"/>
            <w:smallCaps w:val="0"/>
            <w:noProof/>
            <w:sz w:val="24"/>
          </w:rPr>
          <w:tab/>
        </w:r>
        <w:r w:rsidRPr="00405210">
          <w:rPr>
            <w:rStyle w:val="Hyperlink"/>
            <w:noProof/>
          </w:rPr>
          <w:t>Textes de référence</w:t>
        </w:r>
        <w:r>
          <w:rPr>
            <w:noProof/>
            <w:webHidden/>
          </w:rPr>
          <w:tab/>
        </w:r>
        <w:r>
          <w:rPr>
            <w:noProof/>
            <w:webHidden/>
          </w:rPr>
          <w:fldChar w:fldCharType="begin"/>
        </w:r>
        <w:r>
          <w:rPr>
            <w:noProof/>
            <w:webHidden/>
          </w:rPr>
          <w:instrText xml:space="preserve"> PAGEREF _Toc379367164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1440"/>
          <w:tab w:val="right" w:leader="dot" w:pos="9631"/>
        </w:tabs>
        <w:rPr>
          <w:rFonts w:ascii="Times New Roman" w:hAnsi="Times New Roman"/>
          <w:smallCaps w:val="0"/>
          <w:noProof/>
          <w:sz w:val="24"/>
        </w:rPr>
      </w:pPr>
      <w:hyperlink w:anchor="_Toc379367165" w:history="1">
        <w:r w:rsidRPr="00405210">
          <w:rPr>
            <w:rStyle w:val="Hyperlink"/>
            <w:noProof/>
          </w:rPr>
          <w:t>Article 7.</w:t>
        </w:r>
        <w:r>
          <w:rPr>
            <w:rFonts w:ascii="Times New Roman" w:hAnsi="Times New Roman"/>
            <w:smallCaps w:val="0"/>
            <w:noProof/>
            <w:sz w:val="24"/>
          </w:rPr>
          <w:tab/>
        </w:r>
        <w:r w:rsidRPr="00405210">
          <w:rPr>
            <w:rStyle w:val="Hyperlink"/>
            <w:noProof/>
          </w:rPr>
          <w:t>Obligations générales des parties contractantes</w:t>
        </w:r>
        <w:r>
          <w:rPr>
            <w:noProof/>
            <w:webHidden/>
          </w:rPr>
          <w:tab/>
        </w:r>
        <w:r>
          <w:rPr>
            <w:noProof/>
            <w:webHidden/>
          </w:rPr>
          <w:fldChar w:fldCharType="begin"/>
        </w:r>
        <w:r>
          <w:rPr>
            <w:noProof/>
            <w:webHidden/>
          </w:rPr>
          <w:instrText xml:space="preserve"> PAGEREF _Toc379367165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960"/>
          <w:tab w:val="right" w:leader="dot" w:pos="9631"/>
        </w:tabs>
        <w:rPr>
          <w:rFonts w:ascii="Times New Roman" w:hAnsi="Times New Roman"/>
          <w:smallCaps w:val="0"/>
          <w:noProof/>
          <w:sz w:val="24"/>
        </w:rPr>
      </w:pPr>
      <w:hyperlink w:anchor="_Toc379367173" w:history="1">
        <w:r w:rsidRPr="00405210">
          <w:rPr>
            <w:rStyle w:val="Hyperlink"/>
            <w:noProof/>
          </w:rPr>
          <w:t>7.1</w:t>
        </w:r>
        <w:r>
          <w:rPr>
            <w:rFonts w:ascii="Times New Roman" w:hAnsi="Times New Roman"/>
            <w:smallCaps w:val="0"/>
            <w:noProof/>
            <w:sz w:val="24"/>
          </w:rPr>
          <w:tab/>
        </w:r>
        <w:r w:rsidRPr="00405210">
          <w:rPr>
            <w:rStyle w:val="Hyperlink"/>
            <w:noProof/>
          </w:rPr>
          <w:t xml:space="preserve"> Maître d’ouvrage et maître d’œuvre</w:t>
        </w:r>
        <w:r>
          <w:rPr>
            <w:noProof/>
            <w:webHidden/>
          </w:rPr>
          <w:tab/>
        </w:r>
        <w:r>
          <w:rPr>
            <w:noProof/>
            <w:webHidden/>
          </w:rPr>
          <w:fldChar w:fldCharType="begin"/>
        </w:r>
        <w:r>
          <w:rPr>
            <w:noProof/>
            <w:webHidden/>
          </w:rPr>
          <w:instrText xml:space="preserve"> PAGEREF _Toc379367173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960"/>
          <w:tab w:val="right" w:leader="dot" w:pos="9631"/>
        </w:tabs>
        <w:rPr>
          <w:rFonts w:ascii="Times New Roman" w:hAnsi="Times New Roman"/>
          <w:smallCaps w:val="0"/>
          <w:noProof/>
          <w:sz w:val="24"/>
        </w:rPr>
      </w:pPr>
      <w:hyperlink w:anchor="_Toc379367174" w:history="1">
        <w:r w:rsidRPr="00405210">
          <w:rPr>
            <w:rStyle w:val="Hyperlink"/>
            <w:noProof/>
          </w:rPr>
          <w:t>7.4</w:t>
        </w:r>
        <w:r>
          <w:rPr>
            <w:rFonts w:ascii="Times New Roman" w:hAnsi="Times New Roman"/>
            <w:smallCaps w:val="0"/>
            <w:noProof/>
            <w:sz w:val="24"/>
          </w:rPr>
          <w:tab/>
        </w:r>
        <w:r w:rsidRPr="00405210">
          <w:rPr>
            <w:rStyle w:val="Hyperlink"/>
            <w:noProof/>
          </w:rPr>
          <w:t xml:space="preserve"> Sous-traitance</w:t>
        </w:r>
        <w:r>
          <w:rPr>
            <w:noProof/>
            <w:webHidden/>
          </w:rPr>
          <w:tab/>
        </w:r>
        <w:r>
          <w:rPr>
            <w:noProof/>
            <w:webHidden/>
          </w:rPr>
          <w:fldChar w:fldCharType="begin"/>
        </w:r>
        <w:r>
          <w:rPr>
            <w:noProof/>
            <w:webHidden/>
          </w:rPr>
          <w:instrText xml:space="preserve"> PAGEREF _Toc379367174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right" w:leader="dot" w:pos="9631"/>
        </w:tabs>
        <w:rPr>
          <w:rFonts w:ascii="Times New Roman" w:hAnsi="Times New Roman"/>
          <w:smallCaps w:val="0"/>
          <w:noProof/>
          <w:sz w:val="24"/>
        </w:rPr>
      </w:pPr>
      <w:hyperlink w:anchor="_Toc379367175" w:history="1">
        <w:r w:rsidRPr="00405210">
          <w:rPr>
            <w:rStyle w:val="Hyperlink"/>
            <w:noProof/>
          </w:rPr>
          <w:t>CHAPITRE I – DELAIS</w:t>
        </w:r>
        <w:r>
          <w:rPr>
            <w:noProof/>
            <w:webHidden/>
          </w:rPr>
          <w:tab/>
        </w:r>
        <w:r>
          <w:rPr>
            <w:noProof/>
            <w:webHidden/>
          </w:rPr>
          <w:fldChar w:fldCharType="begin"/>
        </w:r>
        <w:r>
          <w:rPr>
            <w:noProof/>
            <w:webHidden/>
          </w:rPr>
          <w:instrText xml:space="preserve"> PAGEREF _Toc379367175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1440"/>
          <w:tab w:val="right" w:leader="dot" w:pos="9631"/>
        </w:tabs>
        <w:rPr>
          <w:rFonts w:ascii="Times New Roman" w:hAnsi="Times New Roman"/>
          <w:smallCaps w:val="0"/>
          <w:noProof/>
          <w:sz w:val="24"/>
        </w:rPr>
      </w:pPr>
      <w:hyperlink w:anchor="_Toc379367176" w:history="1">
        <w:r w:rsidRPr="00405210">
          <w:rPr>
            <w:rStyle w:val="Hyperlink"/>
            <w:noProof/>
          </w:rPr>
          <w:t>Article 10.</w:t>
        </w:r>
        <w:r>
          <w:rPr>
            <w:rFonts w:ascii="Times New Roman" w:hAnsi="Times New Roman"/>
            <w:smallCaps w:val="0"/>
            <w:noProof/>
            <w:sz w:val="24"/>
          </w:rPr>
          <w:tab/>
        </w:r>
        <w:r w:rsidRPr="00405210">
          <w:rPr>
            <w:rStyle w:val="Hyperlink"/>
            <w:noProof/>
          </w:rPr>
          <w:t xml:space="preserve"> Délai d’exécution</w:t>
        </w:r>
        <w:r>
          <w:rPr>
            <w:noProof/>
            <w:webHidden/>
          </w:rPr>
          <w:tab/>
        </w:r>
        <w:r>
          <w:rPr>
            <w:noProof/>
            <w:webHidden/>
          </w:rPr>
          <w:fldChar w:fldCharType="begin"/>
        </w:r>
        <w:r>
          <w:rPr>
            <w:noProof/>
            <w:webHidden/>
          </w:rPr>
          <w:instrText xml:space="preserve"> PAGEREF _Toc379367176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right" w:leader="dot" w:pos="9631"/>
        </w:tabs>
        <w:rPr>
          <w:rFonts w:ascii="Times New Roman" w:hAnsi="Times New Roman"/>
          <w:smallCaps w:val="0"/>
          <w:noProof/>
          <w:sz w:val="24"/>
        </w:rPr>
      </w:pPr>
      <w:hyperlink w:anchor="_Toc379367177" w:history="1">
        <w:r w:rsidRPr="00405210">
          <w:rPr>
            <w:rStyle w:val="Hyperlink"/>
            <w:noProof/>
          </w:rPr>
          <w:t>10.3 Délai de remise des documents à l’ONEE</w:t>
        </w:r>
        <w:r>
          <w:rPr>
            <w:noProof/>
            <w:webHidden/>
          </w:rPr>
          <w:tab/>
        </w:r>
        <w:r>
          <w:rPr>
            <w:noProof/>
            <w:webHidden/>
          </w:rPr>
          <w:fldChar w:fldCharType="begin"/>
        </w:r>
        <w:r>
          <w:rPr>
            <w:noProof/>
            <w:webHidden/>
          </w:rPr>
          <w:instrText xml:space="preserve"> PAGEREF _Toc379367177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1440"/>
          <w:tab w:val="right" w:leader="dot" w:pos="9631"/>
        </w:tabs>
        <w:rPr>
          <w:rFonts w:ascii="Times New Roman" w:hAnsi="Times New Roman"/>
          <w:smallCaps w:val="0"/>
          <w:noProof/>
          <w:sz w:val="24"/>
        </w:rPr>
      </w:pPr>
      <w:hyperlink w:anchor="_Toc379367178" w:history="1">
        <w:r w:rsidRPr="00405210">
          <w:rPr>
            <w:rStyle w:val="Hyperlink"/>
            <w:noProof/>
          </w:rPr>
          <w:t xml:space="preserve">Article </w:t>
        </w:r>
        <w:r w:rsidRPr="00405210">
          <w:rPr>
            <w:rStyle w:val="Hyperlink"/>
            <w:rFonts w:cs="Arial"/>
            <w:noProof/>
          </w:rPr>
          <w:t>12.</w:t>
        </w:r>
        <w:r>
          <w:rPr>
            <w:rFonts w:ascii="Times New Roman" w:hAnsi="Times New Roman"/>
            <w:smallCaps w:val="0"/>
            <w:noProof/>
            <w:sz w:val="24"/>
          </w:rPr>
          <w:tab/>
        </w:r>
        <w:r w:rsidRPr="00405210">
          <w:rPr>
            <w:rStyle w:val="Hyperlink"/>
            <w:noProof/>
          </w:rPr>
          <w:t>Interruptions des travaux</w:t>
        </w:r>
        <w:r>
          <w:rPr>
            <w:noProof/>
            <w:webHidden/>
          </w:rPr>
          <w:tab/>
        </w:r>
        <w:r>
          <w:rPr>
            <w:noProof/>
            <w:webHidden/>
          </w:rPr>
          <w:fldChar w:fldCharType="begin"/>
        </w:r>
        <w:r>
          <w:rPr>
            <w:noProof/>
            <w:webHidden/>
          </w:rPr>
          <w:instrText xml:space="preserve"> PAGEREF _Toc379367178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1440"/>
          <w:tab w:val="right" w:leader="dot" w:pos="9631"/>
        </w:tabs>
        <w:rPr>
          <w:rFonts w:ascii="Times New Roman" w:hAnsi="Times New Roman"/>
          <w:smallCaps w:val="0"/>
          <w:noProof/>
          <w:sz w:val="24"/>
        </w:rPr>
      </w:pPr>
      <w:hyperlink w:anchor="_Toc379367179" w:history="1">
        <w:r w:rsidRPr="00405210">
          <w:rPr>
            <w:rStyle w:val="Hyperlink"/>
            <w:noProof/>
          </w:rPr>
          <w:t>Article 13.</w:t>
        </w:r>
        <w:r>
          <w:rPr>
            <w:rFonts w:ascii="Times New Roman" w:hAnsi="Times New Roman"/>
            <w:smallCaps w:val="0"/>
            <w:noProof/>
            <w:sz w:val="24"/>
          </w:rPr>
          <w:tab/>
        </w:r>
        <w:r w:rsidRPr="00405210">
          <w:rPr>
            <w:rStyle w:val="Hyperlink"/>
            <w:noProof/>
          </w:rPr>
          <w:t xml:space="preserve"> Pénalités de retard</w:t>
        </w:r>
        <w:r>
          <w:rPr>
            <w:noProof/>
            <w:webHidden/>
          </w:rPr>
          <w:tab/>
        </w:r>
        <w:r>
          <w:rPr>
            <w:noProof/>
            <w:webHidden/>
          </w:rPr>
          <w:fldChar w:fldCharType="begin"/>
        </w:r>
        <w:r>
          <w:rPr>
            <w:noProof/>
            <w:webHidden/>
          </w:rPr>
          <w:instrText xml:space="preserve"> PAGEREF _Toc379367179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960"/>
          <w:tab w:val="right" w:leader="dot" w:pos="9631"/>
        </w:tabs>
        <w:rPr>
          <w:rFonts w:ascii="Times New Roman" w:hAnsi="Times New Roman"/>
          <w:smallCaps w:val="0"/>
          <w:noProof/>
          <w:sz w:val="24"/>
        </w:rPr>
      </w:pPr>
      <w:hyperlink w:anchor="_Toc379367180" w:history="1">
        <w:r w:rsidRPr="00405210">
          <w:rPr>
            <w:rStyle w:val="Hyperlink"/>
            <w:noProof/>
          </w:rPr>
          <w:t xml:space="preserve">13.1 </w:t>
        </w:r>
        <w:r>
          <w:rPr>
            <w:rFonts w:ascii="Times New Roman" w:hAnsi="Times New Roman"/>
            <w:smallCaps w:val="0"/>
            <w:noProof/>
            <w:sz w:val="24"/>
          </w:rPr>
          <w:tab/>
        </w:r>
        <w:r w:rsidRPr="00405210">
          <w:rPr>
            <w:rStyle w:val="Hyperlink"/>
            <w:noProof/>
          </w:rPr>
          <w:t>Pénalités pour retard dans l’exécution des travaux, ou dans la remise des dossiers d’exécution, ou dans la mise en service industrielle :</w:t>
        </w:r>
        <w:r>
          <w:rPr>
            <w:noProof/>
            <w:webHidden/>
          </w:rPr>
          <w:tab/>
        </w:r>
        <w:r>
          <w:rPr>
            <w:noProof/>
            <w:webHidden/>
          </w:rPr>
          <w:fldChar w:fldCharType="begin"/>
        </w:r>
        <w:r>
          <w:rPr>
            <w:noProof/>
            <w:webHidden/>
          </w:rPr>
          <w:instrText xml:space="preserve"> PAGEREF _Toc379367180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right" w:leader="dot" w:pos="9631"/>
        </w:tabs>
        <w:rPr>
          <w:rFonts w:ascii="Times New Roman" w:hAnsi="Times New Roman"/>
          <w:smallCaps w:val="0"/>
          <w:noProof/>
          <w:sz w:val="24"/>
        </w:rPr>
      </w:pPr>
      <w:hyperlink w:anchor="_Toc379367181" w:history="1">
        <w:r w:rsidRPr="00405210">
          <w:rPr>
            <w:rStyle w:val="Hyperlink"/>
            <w:noProof/>
          </w:rPr>
          <w:t>Article 13bis - Pénalités techniques :</w:t>
        </w:r>
        <w:r>
          <w:rPr>
            <w:noProof/>
            <w:webHidden/>
          </w:rPr>
          <w:tab/>
        </w:r>
        <w:r>
          <w:rPr>
            <w:noProof/>
            <w:webHidden/>
          </w:rPr>
          <w:fldChar w:fldCharType="begin"/>
        </w:r>
        <w:r>
          <w:rPr>
            <w:noProof/>
            <w:webHidden/>
          </w:rPr>
          <w:instrText xml:space="preserve"> PAGEREF _Toc379367181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right" w:leader="dot" w:pos="9631"/>
        </w:tabs>
        <w:rPr>
          <w:rFonts w:ascii="Times New Roman" w:hAnsi="Times New Roman"/>
          <w:smallCaps w:val="0"/>
          <w:noProof/>
          <w:sz w:val="24"/>
        </w:rPr>
      </w:pPr>
      <w:hyperlink w:anchor="_Toc379367182" w:history="1">
        <w:r w:rsidRPr="00405210">
          <w:rPr>
            <w:rStyle w:val="Hyperlink"/>
            <w:noProof/>
          </w:rPr>
          <w:t>CHAPITRE III  -  EXECUTION DES TRAVAUX</w:t>
        </w:r>
        <w:r>
          <w:rPr>
            <w:noProof/>
            <w:webHidden/>
          </w:rPr>
          <w:tab/>
        </w:r>
        <w:r>
          <w:rPr>
            <w:noProof/>
            <w:webHidden/>
          </w:rPr>
          <w:fldChar w:fldCharType="begin"/>
        </w:r>
        <w:r>
          <w:rPr>
            <w:noProof/>
            <w:webHidden/>
          </w:rPr>
          <w:instrText xml:space="preserve"> PAGEREF _Toc379367182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1440"/>
          <w:tab w:val="right" w:leader="dot" w:pos="9631"/>
        </w:tabs>
        <w:rPr>
          <w:rFonts w:ascii="Times New Roman" w:hAnsi="Times New Roman"/>
          <w:smallCaps w:val="0"/>
          <w:noProof/>
          <w:sz w:val="24"/>
        </w:rPr>
      </w:pPr>
      <w:hyperlink w:anchor="_Toc379367183" w:history="1">
        <w:r w:rsidRPr="00405210">
          <w:rPr>
            <w:rStyle w:val="Hyperlink"/>
            <w:noProof/>
          </w:rPr>
          <w:t xml:space="preserve">Article 31. </w:t>
        </w:r>
        <w:r>
          <w:rPr>
            <w:rFonts w:ascii="Times New Roman" w:hAnsi="Times New Roman"/>
            <w:smallCaps w:val="0"/>
            <w:noProof/>
            <w:sz w:val="24"/>
          </w:rPr>
          <w:tab/>
        </w:r>
        <w:r w:rsidRPr="00405210">
          <w:rPr>
            <w:rStyle w:val="Hyperlink"/>
            <w:noProof/>
          </w:rPr>
          <w:t>Dossier d’exécution</w:t>
        </w:r>
        <w:r>
          <w:rPr>
            <w:noProof/>
            <w:webHidden/>
          </w:rPr>
          <w:tab/>
        </w:r>
        <w:r>
          <w:rPr>
            <w:noProof/>
            <w:webHidden/>
          </w:rPr>
          <w:fldChar w:fldCharType="begin"/>
        </w:r>
        <w:r>
          <w:rPr>
            <w:noProof/>
            <w:webHidden/>
          </w:rPr>
          <w:instrText xml:space="preserve"> PAGEREF _Toc379367183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960"/>
          <w:tab w:val="right" w:leader="dot" w:pos="9631"/>
        </w:tabs>
        <w:rPr>
          <w:rFonts w:ascii="Times New Roman" w:hAnsi="Times New Roman"/>
          <w:smallCaps w:val="0"/>
          <w:noProof/>
          <w:sz w:val="24"/>
        </w:rPr>
      </w:pPr>
      <w:hyperlink w:anchor="_Toc379367184" w:history="1">
        <w:r w:rsidRPr="00405210">
          <w:rPr>
            <w:rStyle w:val="Hyperlink"/>
            <w:noProof/>
          </w:rPr>
          <w:t>31.1</w:t>
        </w:r>
        <w:r>
          <w:rPr>
            <w:rFonts w:ascii="Times New Roman" w:hAnsi="Times New Roman"/>
            <w:smallCaps w:val="0"/>
            <w:noProof/>
            <w:sz w:val="24"/>
          </w:rPr>
          <w:tab/>
        </w:r>
        <w:r w:rsidRPr="00405210">
          <w:rPr>
            <w:rStyle w:val="Hyperlink"/>
            <w:noProof/>
          </w:rPr>
          <w:t xml:space="preserve"> Programme d’exécution des travaux</w:t>
        </w:r>
        <w:r>
          <w:rPr>
            <w:noProof/>
            <w:webHidden/>
          </w:rPr>
          <w:tab/>
        </w:r>
        <w:r>
          <w:rPr>
            <w:noProof/>
            <w:webHidden/>
          </w:rPr>
          <w:fldChar w:fldCharType="begin"/>
        </w:r>
        <w:r>
          <w:rPr>
            <w:noProof/>
            <w:webHidden/>
          </w:rPr>
          <w:instrText xml:space="preserve"> PAGEREF _Toc379367184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1440"/>
          <w:tab w:val="right" w:leader="dot" w:pos="9631"/>
        </w:tabs>
        <w:rPr>
          <w:rFonts w:ascii="Times New Roman" w:hAnsi="Times New Roman"/>
          <w:smallCaps w:val="0"/>
          <w:noProof/>
          <w:sz w:val="24"/>
        </w:rPr>
      </w:pPr>
      <w:hyperlink w:anchor="_Toc379367185" w:history="1">
        <w:r w:rsidRPr="00405210">
          <w:rPr>
            <w:rStyle w:val="Hyperlink"/>
            <w:noProof/>
          </w:rPr>
          <w:t xml:space="preserve">Article </w:t>
        </w:r>
        <w:r w:rsidRPr="00405210">
          <w:rPr>
            <w:rStyle w:val="Hyperlink"/>
            <w:rFonts w:cs="Arial"/>
            <w:noProof/>
          </w:rPr>
          <w:t>33.</w:t>
        </w:r>
        <w:r>
          <w:rPr>
            <w:rFonts w:ascii="Times New Roman" w:hAnsi="Times New Roman"/>
            <w:smallCaps w:val="0"/>
            <w:noProof/>
            <w:sz w:val="24"/>
          </w:rPr>
          <w:tab/>
        </w:r>
        <w:r w:rsidRPr="00405210">
          <w:rPr>
            <w:rStyle w:val="Hyperlink"/>
            <w:noProof/>
          </w:rPr>
          <w:t>Magasinage, transport et montage</w:t>
        </w:r>
        <w:r>
          <w:rPr>
            <w:noProof/>
            <w:webHidden/>
          </w:rPr>
          <w:tab/>
        </w:r>
        <w:r>
          <w:rPr>
            <w:noProof/>
            <w:webHidden/>
          </w:rPr>
          <w:fldChar w:fldCharType="begin"/>
        </w:r>
        <w:r>
          <w:rPr>
            <w:noProof/>
            <w:webHidden/>
          </w:rPr>
          <w:instrText xml:space="preserve"> PAGEREF _Toc379367185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960"/>
          <w:tab w:val="right" w:leader="dot" w:pos="9631"/>
        </w:tabs>
        <w:rPr>
          <w:rFonts w:ascii="Times New Roman" w:hAnsi="Times New Roman"/>
          <w:smallCaps w:val="0"/>
          <w:noProof/>
          <w:sz w:val="24"/>
        </w:rPr>
      </w:pPr>
      <w:hyperlink w:anchor="_Toc379367186" w:history="1">
        <w:r w:rsidRPr="00405210">
          <w:rPr>
            <w:rStyle w:val="Hyperlink"/>
            <w:rFonts w:cs="Arial"/>
            <w:noProof/>
          </w:rPr>
          <w:t>33.1</w:t>
        </w:r>
        <w:r>
          <w:rPr>
            <w:rFonts w:ascii="Times New Roman" w:hAnsi="Times New Roman"/>
            <w:smallCaps w:val="0"/>
            <w:noProof/>
            <w:sz w:val="24"/>
          </w:rPr>
          <w:tab/>
        </w:r>
        <w:r w:rsidRPr="00405210">
          <w:rPr>
            <w:rStyle w:val="Hyperlink"/>
            <w:noProof/>
          </w:rPr>
          <w:t>Magasinage</w:t>
        </w:r>
        <w:r>
          <w:rPr>
            <w:noProof/>
            <w:webHidden/>
          </w:rPr>
          <w:tab/>
        </w:r>
        <w:r>
          <w:rPr>
            <w:noProof/>
            <w:webHidden/>
          </w:rPr>
          <w:fldChar w:fldCharType="begin"/>
        </w:r>
        <w:r>
          <w:rPr>
            <w:noProof/>
            <w:webHidden/>
          </w:rPr>
          <w:instrText xml:space="preserve"> PAGEREF _Toc379367186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right" w:leader="dot" w:pos="9631"/>
        </w:tabs>
        <w:rPr>
          <w:rFonts w:ascii="Times New Roman" w:hAnsi="Times New Roman"/>
          <w:smallCaps w:val="0"/>
          <w:noProof/>
          <w:sz w:val="24"/>
        </w:rPr>
      </w:pPr>
      <w:hyperlink w:anchor="_Toc379367187" w:history="1">
        <w:r w:rsidRPr="00405210">
          <w:rPr>
            <w:rStyle w:val="Hyperlink"/>
            <w:noProof/>
          </w:rPr>
          <w:t>CHAPITRE IV -  RECEPTION ET GARANTIES</w:t>
        </w:r>
        <w:r>
          <w:rPr>
            <w:noProof/>
            <w:webHidden/>
          </w:rPr>
          <w:tab/>
        </w:r>
        <w:r>
          <w:rPr>
            <w:noProof/>
            <w:webHidden/>
          </w:rPr>
          <w:fldChar w:fldCharType="begin"/>
        </w:r>
        <w:r>
          <w:rPr>
            <w:noProof/>
            <w:webHidden/>
          </w:rPr>
          <w:instrText xml:space="preserve"> PAGEREF _Toc379367187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1440"/>
          <w:tab w:val="right" w:leader="dot" w:pos="9631"/>
        </w:tabs>
        <w:rPr>
          <w:rFonts w:ascii="Times New Roman" w:hAnsi="Times New Roman"/>
          <w:smallCaps w:val="0"/>
          <w:noProof/>
          <w:sz w:val="24"/>
        </w:rPr>
      </w:pPr>
      <w:hyperlink w:anchor="_Toc379367188" w:history="1">
        <w:r w:rsidRPr="00405210">
          <w:rPr>
            <w:rStyle w:val="Hyperlink"/>
            <w:noProof/>
          </w:rPr>
          <w:t>Article 40.</w:t>
        </w:r>
        <w:r>
          <w:rPr>
            <w:rFonts w:ascii="Times New Roman" w:hAnsi="Times New Roman"/>
            <w:smallCaps w:val="0"/>
            <w:noProof/>
            <w:sz w:val="24"/>
          </w:rPr>
          <w:tab/>
        </w:r>
        <w:r w:rsidRPr="00405210">
          <w:rPr>
            <w:rStyle w:val="Hyperlink"/>
            <w:noProof/>
          </w:rPr>
          <w:t xml:space="preserve"> Réception</w:t>
        </w:r>
        <w:r>
          <w:rPr>
            <w:noProof/>
            <w:webHidden/>
          </w:rPr>
          <w:tab/>
        </w:r>
        <w:r>
          <w:rPr>
            <w:noProof/>
            <w:webHidden/>
          </w:rPr>
          <w:fldChar w:fldCharType="begin"/>
        </w:r>
        <w:r>
          <w:rPr>
            <w:noProof/>
            <w:webHidden/>
          </w:rPr>
          <w:instrText xml:space="preserve"> PAGEREF _Toc379367188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960"/>
          <w:tab w:val="right" w:leader="dot" w:pos="9631"/>
        </w:tabs>
        <w:rPr>
          <w:rFonts w:ascii="Times New Roman" w:hAnsi="Times New Roman"/>
          <w:smallCaps w:val="0"/>
          <w:noProof/>
          <w:sz w:val="24"/>
        </w:rPr>
      </w:pPr>
      <w:hyperlink w:anchor="_Toc379367189" w:history="1">
        <w:r w:rsidRPr="00405210">
          <w:rPr>
            <w:rStyle w:val="Hyperlink"/>
            <w:rFonts w:cs="Arial"/>
            <w:noProof/>
          </w:rPr>
          <w:t>40.1</w:t>
        </w:r>
        <w:r>
          <w:rPr>
            <w:rFonts w:ascii="Times New Roman" w:hAnsi="Times New Roman"/>
            <w:smallCaps w:val="0"/>
            <w:noProof/>
            <w:sz w:val="24"/>
          </w:rPr>
          <w:tab/>
        </w:r>
        <w:r w:rsidRPr="00405210">
          <w:rPr>
            <w:rStyle w:val="Hyperlink"/>
            <w:noProof/>
          </w:rPr>
          <w:t>Réception en usine</w:t>
        </w:r>
        <w:r>
          <w:rPr>
            <w:noProof/>
            <w:webHidden/>
          </w:rPr>
          <w:tab/>
        </w:r>
        <w:r>
          <w:rPr>
            <w:noProof/>
            <w:webHidden/>
          </w:rPr>
          <w:fldChar w:fldCharType="begin"/>
        </w:r>
        <w:r>
          <w:rPr>
            <w:noProof/>
            <w:webHidden/>
          </w:rPr>
          <w:instrText xml:space="preserve"> PAGEREF _Toc379367189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960"/>
          <w:tab w:val="right" w:leader="dot" w:pos="9631"/>
        </w:tabs>
        <w:rPr>
          <w:rFonts w:ascii="Times New Roman" w:hAnsi="Times New Roman"/>
          <w:smallCaps w:val="0"/>
          <w:noProof/>
          <w:sz w:val="24"/>
        </w:rPr>
      </w:pPr>
      <w:hyperlink w:anchor="_Toc379367190" w:history="1">
        <w:r w:rsidRPr="00405210">
          <w:rPr>
            <w:rStyle w:val="Hyperlink"/>
            <w:rFonts w:cs="Arial"/>
            <w:noProof/>
          </w:rPr>
          <w:t>40.3</w:t>
        </w:r>
        <w:r>
          <w:rPr>
            <w:rFonts w:ascii="Times New Roman" w:hAnsi="Times New Roman"/>
            <w:smallCaps w:val="0"/>
            <w:noProof/>
            <w:sz w:val="24"/>
          </w:rPr>
          <w:tab/>
        </w:r>
        <w:r w:rsidRPr="00405210">
          <w:rPr>
            <w:rStyle w:val="Hyperlink"/>
            <w:noProof/>
          </w:rPr>
          <w:t>Essais et mises en service</w:t>
        </w:r>
        <w:r>
          <w:rPr>
            <w:noProof/>
            <w:webHidden/>
          </w:rPr>
          <w:tab/>
        </w:r>
        <w:r>
          <w:rPr>
            <w:noProof/>
            <w:webHidden/>
          </w:rPr>
          <w:fldChar w:fldCharType="begin"/>
        </w:r>
        <w:r>
          <w:rPr>
            <w:noProof/>
            <w:webHidden/>
          </w:rPr>
          <w:instrText xml:space="preserve"> PAGEREF _Toc379367190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1440"/>
          <w:tab w:val="right" w:leader="dot" w:pos="9631"/>
        </w:tabs>
        <w:rPr>
          <w:rFonts w:ascii="Times New Roman" w:hAnsi="Times New Roman"/>
          <w:smallCaps w:val="0"/>
          <w:noProof/>
          <w:sz w:val="24"/>
        </w:rPr>
      </w:pPr>
      <w:hyperlink w:anchor="_Toc379367191" w:history="1">
        <w:r w:rsidRPr="00405210">
          <w:rPr>
            <w:rStyle w:val="Hyperlink"/>
            <w:noProof/>
          </w:rPr>
          <w:t>Article 42.</w:t>
        </w:r>
        <w:r>
          <w:rPr>
            <w:rFonts w:ascii="Times New Roman" w:hAnsi="Times New Roman"/>
            <w:smallCaps w:val="0"/>
            <w:noProof/>
            <w:sz w:val="24"/>
          </w:rPr>
          <w:tab/>
        </w:r>
        <w:r w:rsidRPr="00405210">
          <w:rPr>
            <w:rStyle w:val="Hyperlink"/>
            <w:noProof/>
          </w:rPr>
          <w:t xml:space="preserve"> Garanties</w:t>
        </w:r>
        <w:r>
          <w:rPr>
            <w:noProof/>
            <w:webHidden/>
          </w:rPr>
          <w:tab/>
        </w:r>
        <w:r>
          <w:rPr>
            <w:noProof/>
            <w:webHidden/>
          </w:rPr>
          <w:fldChar w:fldCharType="begin"/>
        </w:r>
        <w:r>
          <w:rPr>
            <w:noProof/>
            <w:webHidden/>
          </w:rPr>
          <w:instrText xml:space="preserve"> PAGEREF _Toc379367191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960"/>
          <w:tab w:val="right" w:leader="dot" w:pos="9631"/>
        </w:tabs>
        <w:rPr>
          <w:rFonts w:ascii="Times New Roman" w:hAnsi="Times New Roman"/>
          <w:smallCaps w:val="0"/>
          <w:noProof/>
          <w:sz w:val="24"/>
        </w:rPr>
      </w:pPr>
      <w:hyperlink w:anchor="_Toc379367192" w:history="1">
        <w:r w:rsidRPr="00405210">
          <w:rPr>
            <w:rStyle w:val="Hyperlink"/>
            <w:noProof/>
          </w:rPr>
          <w:t>42.1</w:t>
        </w:r>
        <w:r>
          <w:rPr>
            <w:rFonts w:ascii="Times New Roman" w:hAnsi="Times New Roman"/>
            <w:smallCaps w:val="0"/>
            <w:noProof/>
            <w:sz w:val="24"/>
          </w:rPr>
          <w:tab/>
        </w:r>
        <w:r w:rsidRPr="00405210">
          <w:rPr>
            <w:rStyle w:val="Hyperlink"/>
            <w:noProof/>
          </w:rPr>
          <w:t>Délai de garantie</w:t>
        </w:r>
        <w:r>
          <w:rPr>
            <w:noProof/>
            <w:webHidden/>
          </w:rPr>
          <w:tab/>
        </w:r>
        <w:r>
          <w:rPr>
            <w:noProof/>
            <w:webHidden/>
          </w:rPr>
          <w:fldChar w:fldCharType="begin"/>
        </w:r>
        <w:r>
          <w:rPr>
            <w:noProof/>
            <w:webHidden/>
          </w:rPr>
          <w:instrText xml:space="preserve"> PAGEREF _Toc379367192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960"/>
          <w:tab w:val="right" w:leader="dot" w:pos="9631"/>
        </w:tabs>
        <w:rPr>
          <w:rFonts w:ascii="Times New Roman" w:hAnsi="Times New Roman"/>
          <w:smallCaps w:val="0"/>
          <w:noProof/>
          <w:sz w:val="24"/>
        </w:rPr>
      </w:pPr>
      <w:hyperlink w:anchor="_Toc379367193" w:history="1">
        <w:r w:rsidRPr="00405210">
          <w:rPr>
            <w:rStyle w:val="Hyperlink"/>
            <w:noProof/>
          </w:rPr>
          <w:t>42.2</w:t>
        </w:r>
        <w:r>
          <w:rPr>
            <w:rFonts w:ascii="Times New Roman" w:hAnsi="Times New Roman"/>
            <w:smallCaps w:val="0"/>
            <w:noProof/>
            <w:sz w:val="24"/>
          </w:rPr>
          <w:tab/>
        </w:r>
        <w:r w:rsidRPr="00405210">
          <w:rPr>
            <w:rStyle w:val="Hyperlink"/>
            <w:noProof/>
          </w:rPr>
          <w:t>Responsabilité décennale</w:t>
        </w:r>
        <w:r>
          <w:rPr>
            <w:noProof/>
            <w:webHidden/>
          </w:rPr>
          <w:tab/>
        </w:r>
        <w:r>
          <w:rPr>
            <w:noProof/>
            <w:webHidden/>
          </w:rPr>
          <w:fldChar w:fldCharType="begin"/>
        </w:r>
        <w:r>
          <w:rPr>
            <w:noProof/>
            <w:webHidden/>
          </w:rPr>
          <w:instrText xml:space="preserve"> PAGEREF _Toc379367193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1440"/>
          <w:tab w:val="right" w:leader="dot" w:pos="9631"/>
        </w:tabs>
        <w:rPr>
          <w:rFonts w:ascii="Times New Roman" w:hAnsi="Times New Roman"/>
          <w:smallCaps w:val="0"/>
          <w:noProof/>
          <w:sz w:val="24"/>
        </w:rPr>
      </w:pPr>
      <w:hyperlink w:anchor="_Toc379367194" w:history="1">
        <w:r w:rsidRPr="00405210">
          <w:rPr>
            <w:rStyle w:val="Hyperlink"/>
            <w:noProof/>
          </w:rPr>
          <w:t>Article 44.</w:t>
        </w:r>
        <w:r>
          <w:rPr>
            <w:rFonts w:ascii="Times New Roman" w:hAnsi="Times New Roman"/>
            <w:smallCaps w:val="0"/>
            <w:noProof/>
            <w:sz w:val="24"/>
          </w:rPr>
          <w:tab/>
        </w:r>
        <w:r w:rsidRPr="00405210">
          <w:rPr>
            <w:rStyle w:val="Hyperlink"/>
            <w:noProof/>
          </w:rPr>
          <w:t xml:space="preserve"> Réception définitive</w:t>
        </w:r>
        <w:r>
          <w:rPr>
            <w:noProof/>
            <w:webHidden/>
          </w:rPr>
          <w:tab/>
        </w:r>
        <w:r>
          <w:rPr>
            <w:noProof/>
            <w:webHidden/>
          </w:rPr>
          <w:fldChar w:fldCharType="begin"/>
        </w:r>
        <w:r>
          <w:rPr>
            <w:noProof/>
            <w:webHidden/>
          </w:rPr>
          <w:instrText xml:space="preserve"> PAGEREF _Toc379367194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right" w:leader="dot" w:pos="9631"/>
        </w:tabs>
        <w:rPr>
          <w:rFonts w:ascii="Times New Roman" w:hAnsi="Times New Roman"/>
          <w:smallCaps w:val="0"/>
          <w:noProof/>
          <w:sz w:val="24"/>
        </w:rPr>
      </w:pPr>
      <w:hyperlink w:anchor="_Toc379367195" w:history="1">
        <w:r w:rsidRPr="00405210">
          <w:rPr>
            <w:rStyle w:val="Hyperlink"/>
            <w:noProof/>
          </w:rPr>
          <w:t>CHAPITRE V - PRIX ET REGLEMENT DES ACOMPTES</w:t>
        </w:r>
        <w:r>
          <w:rPr>
            <w:noProof/>
            <w:webHidden/>
          </w:rPr>
          <w:tab/>
        </w:r>
        <w:r>
          <w:rPr>
            <w:noProof/>
            <w:webHidden/>
          </w:rPr>
          <w:fldChar w:fldCharType="begin"/>
        </w:r>
        <w:r>
          <w:rPr>
            <w:noProof/>
            <w:webHidden/>
          </w:rPr>
          <w:instrText xml:space="preserve"> PAGEREF _Toc379367195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1440"/>
          <w:tab w:val="right" w:leader="dot" w:pos="9631"/>
        </w:tabs>
        <w:rPr>
          <w:rFonts w:ascii="Times New Roman" w:hAnsi="Times New Roman"/>
          <w:smallCaps w:val="0"/>
          <w:noProof/>
          <w:sz w:val="24"/>
        </w:rPr>
      </w:pPr>
      <w:hyperlink w:anchor="_Toc379367196" w:history="1">
        <w:r w:rsidRPr="00405210">
          <w:rPr>
            <w:rStyle w:val="Hyperlink"/>
            <w:noProof/>
          </w:rPr>
          <w:t>Article 52.</w:t>
        </w:r>
        <w:r>
          <w:rPr>
            <w:rFonts w:ascii="Times New Roman" w:hAnsi="Times New Roman"/>
            <w:smallCaps w:val="0"/>
            <w:noProof/>
            <w:sz w:val="24"/>
          </w:rPr>
          <w:tab/>
        </w:r>
        <w:r w:rsidRPr="00405210">
          <w:rPr>
            <w:rStyle w:val="Hyperlink"/>
            <w:noProof/>
          </w:rPr>
          <w:t xml:space="preserve"> Modalités de paiement</w:t>
        </w:r>
        <w:r>
          <w:rPr>
            <w:noProof/>
            <w:webHidden/>
          </w:rPr>
          <w:tab/>
        </w:r>
        <w:r>
          <w:rPr>
            <w:noProof/>
            <w:webHidden/>
          </w:rPr>
          <w:fldChar w:fldCharType="begin"/>
        </w:r>
        <w:r>
          <w:rPr>
            <w:noProof/>
            <w:webHidden/>
          </w:rPr>
          <w:instrText xml:space="preserve"> PAGEREF _Toc379367196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960"/>
          <w:tab w:val="right" w:leader="dot" w:pos="9631"/>
        </w:tabs>
        <w:rPr>
          <w:rFonts w:ascii="Times New Roman" w:hAnsi="Times New Roman"/>
          <w:smallCaps w:val="0"/>
          <w:noProof/>
          <w:sz w:val="24"/>
        </w:rPr>
      </w:pPr>
      <w:hyperlink w:anchor="_Toc379367197" w:history="1">
        <w:r w:rsidRPr="00405210">
          <w:rPr>
            <w:rStyle w:val="Hyperlink"/>
            <w:noProof/>
          </w:rPr>
          <w:t>52.1</w:t>
        </w:r>
        <w:r>
          <w:rPr>
            <w:rFonts w:ascii="Times New Roman" w:hAnsi="Times New Roman"/>
            <w:smallCaps w:val="0"/>
            <w:noProof/>
            <w:sz w:val="24"/>
          </w:rPr>
          <w:tab/>
        </w:r>
        <w:r w:rsidRPr="00405210">
          <w:rPr>
            <w:rStyle w:val="Hyperlink"/>
            <w:noProof/>
          </w:rPr>
          <w:t>Avances</w:t>
        </w:r>
        <w:r>
          <w:rPr>
            <w:noProof/>
            <w:webHidden/>
          </w:rPr>
          <w:tab/>
        </w:r>
        <w:r>
          <w:rPr>
            <w:noProof/>
            <w:webHidden/>
          </w:rPr>
          <w:fldChar w:fldCharType="begin"/>
        </w:r>
        <w:r>
          <w:rPr>
            <w:noProof/>
            <w:webHidden/>
          </w:rPr>
          <w:instrText xml:space="preserve"> PAGEREF _Toc379367197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960"/>
          <w:tab w:val="right" w:leader="dot" w:pos="9631"/>
        </w:tabs>
        <w:rPr>
          <w:rFonts w:ascii="Times New Roman" w:hAnsi="Times New Roman"/>
          <w:smallCaps w:val="0"/>
          <w:noProof/>
          <w:sz w:val="24"/>
        </w:rPr>
      </w:pPr>
      <w:hyperlink w:anchor="_Toc379367198" w:history="1">
        <w:r w:rsidRPr="00405210">
          <w:rPr>
            <w:rStyle w:val="Hyperlink"/>
            <w:noProof/>
          </w:rPr>
          <w:t>52.2</w:t>
        </w:r>
        <w:r>
          <w:rPr>
            <w:rFonts w:ascii="Times New Roman" w:hAnsi="Times New Roman"/>
            <w:smallCaps w:val="0"/>
            <w:noProof/>
            <w:sz w:val="24"/>
          </w:rPr>
          <w:tab/>
        </w:r>
        <w:r w:rsidRPr="00405210">
          <w:rPr>
            <w:rStyle w:val="Hyperlink"/>
            <w:noProof/>
          </w:rPr>
          <w:t>Acomptes sur approvisionnements :</w:t>
        </w:r>
        <w:r>
          <w:rPr>
            <w:noProof/>
            <w:webHidden/>
          </w:rPr>
          <w:tab/>
        </w:r>
        <w:r>
          <w:rPr>
            <w:noProof/>
            <w:webHidden/>
          </w:rPr>
          <w:fldChar w:fldCharType="begin"/>
        </w:r>
        <w:r>
          <w:rPr>
            <w:noProof/>
            <w:webHidden/>
          </w:rPr>
          <w:instrText xml:space="preserve"> PAGEREF _Toc379367198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960"/>
          <w:tab w:val="right" w:leader="dot" w:pos="9631"/>
        </w:tabs>
        <w:rPr>
          <w:rFonts w:ascii="Times New Roman" w:hAnsi="Times New Roman"/>
          <w:smallCaps w:val="0"/>
          <w:noProof/>
          <w:sz w:val="24"/>
        </w:rPr>
      </w:pPr>
      <w:hyperlink w:anchor="_Toc379367199" w:history="1">
        <w:r w:rsidRPr="00405210">
          <w:rPr>
            <w:rStyle w:val="Hyperlink"/>
            <w:noProof/>
          </w:rPr>
          <w:t xml:space="preserve">52.3 </w:t>
        </w:r>
        <w:r>
          <w:rPr>
            <w:rFonts w:ascii="Times New Roman" w:hAnsi="Times New Roman"/>
            <w:smallCaps w:val="0"/>
            <w:noProof/>
            <w:sz w:val="24"/>
          </w:rPr>
          <w:tab/>
        </w:r>
        <w:r w:rsidRPr="00405210">
          <w:rPr>
            <w:rStyle w:val="Hyperlink"/>
            <w:noProof/>
          </w:rPr>
          <w:t>Paiement du dossier d’exécution :</w:t>
        </w:r>
        <w:r>
          <w:rPr>
            <w:noProof/>
            <w:webHidden/>
          </w:rPr>
          <w:tab/>
        </w:r>
        <w:r>
          <w:rPr>
            <w:noProof/>
            <w:webHidden/>
          </w:rPr>
          <w:fldChar w:fldCharType="begin"/>
        </w:r>
        <w:r>
          <w:rPr>
            <w:noProof/>
            <w:webHidden/>
          </w:rPr>
          <w:instrText xml:space="preserve"> PAGEREF _Toc379367199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960"/>
          <w:tab w:val="right" w:leader="dot" w:pos="9631"/>
        </w:tabs>
        <w:rPr>
          <w:rFonts w:ascii="Times New Roman" w:hAnsi="Times New Roman"/>
          <w:smallCaps w:val="0"/>
          <w:noProof/>
          <w:sz w:val="24"/>
        </w:rPr>
      </w:pPr>
      <w:hyperlink w:anchor="_Toc379367200" w:history="1">
        <w:r w:rsidRPr="00405210">
          <w:rPr>
            <w:rStyle w:val="Hyperlink"/>
            <w:noProof/>
          </w:rPr>
          <w:t>52.5</w:t>
        </w:r>
        <w:r>
          <w:rPr>
            <w:rFonts w:ascii="Times New Roman" w:hAnsi="Times New Roman"/>
            <w:smallCaps w:val="0"/>
            <w:noProof/>
            <w:sz w:val="24"/>
          </w:rPr>
          <w:tab/>
        </w:r>
        <w:r w:rsidRPr="00405210">
          <w:rPr>
            <w:rStyle w:val="Hyperlink"/>
            <w:noProof/>
          </w:rPr>
          <w:t>Paiement des travaux autres que ceux des équipements</w:t>
        </w:r>
        <w:r>
          <w:rPr>
            <w:noProof/>
            <w:webHidden/>
          </w:rPr>
          <w:tab/>
        </w:r>
        <w:r>
          <w:rPr>
            <w:noProof/>
            <w:webHidden/>
          </w:rPr>
          <w:fldChar w:fldCharType="begin"/>
        </w:r>
        <w:r>
          <w:rPr>
            <w:noProof/>
            <w:webHidden/>
          </w:rPr>
          <w:instrText xml:space="preserve"> PAGEREF _Toc379367200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3"/>
        <w:tabs>
          <w:tab w:val="right" w:leader="dot" w:pos="9631"/>
        </w:tabs>
        <w:rPr>
          <w:rFonts w:ascii="Times New Roman" w:hAnsi="Times New Roman"/>
          <w:i w:val="0"/>
          <w:iCs w:val="0"/>
          <w:noProof/>
          <w:sz w:val="24"/>
        </w:rPr>
      </w:pPr>
      <w:hyperlink w:anchor="_Toc379367201" w:history="1">
        <w:r w:rsidRPr="00405210">
          <w:rPr>
            <w:rStyle w:val="Hyperlink"/>
            <w:noProof/>
          </w:rPr>
          <w:t>Avec          A =   le montant calculé à la base des prix unitaires du marché et des quantités</w:t>
        </w:r>
        <w:r>
          <w:rPr>
            <w:noProof/>
            <w:webHidden/>
          </w:rPr>
          <w:tab/>
        </w:r>
        <w:r>
          <w:rPr>
            <w:noProof/>
            <w:webHidden/>
          </w:rPr>
          <w:fldChar w:fldCharType="begin"/>
        </w:r>
        <w:r>
          <w:rPr>
            <w:noProof/>
            <w:webHidden/>
          </w:rPr>
          <w:instrText xml:space="preserve"> PAGEREF _Toc379367201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3"/>
        <w:tabs>
          <w:tab w:val="right" w:leader="dot" w:pos="9631"/>
        </w:tabs>
        <w:rPr>
          <w:rFonts w:ascii="Times New Roman" w:hAnsi="Times New Roman"/>
          <w:i w:val="0"/>
          <w:iCs w:val="0"/>
          <w:noProof/>
          <w:sz w:val="24"/>
        </w:rPr>
      </w:pPr>
      <w:hyperlink w:anchor="_Toc379367202" w:history="1">
        <w:r w:rsidRPr="00405210">
          <w:rPr>
            <w:rStyle w:val="Hyperlink"/>
            <w:noProof/>
          </w:rPr>
          <w:t>réellement exécutés</w:t>
        </w:r>
        <w:r>
          <w:rPr>
            <w:noProof/>
            <w:webHidden/>
          </w:rPr>
          <w:tab/>
        </w:r>
        <w:r>
          <w:rPr>
            <w:noProof/>
            <w:webHidden/>
          </w:rPr>
          <w:fldChar w:fldCharType="begin"/>
        </w:r>
        <w:r>
          <w:rPr>
            <w:noProof/>
            <w:webHidden/>
          </w:rPr>
          <w:instrText xml:space="preserve"> PAGEREF _Toc379367202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3"/>
        <w:tabs>
          <w:tab w:val="right" w:leader="dot" w:pos="9631"/>
        </w:tabs>
        <w:rPr>
          <w:rFonts w:ascii="Times New Roman" w:hAnsi="Times New Roman"/>
          <w:i w:val="0"/>
          <w:iCs w:val="0"/>
          <w:noProof/>
          <w:sz w:val="24"/>
        </w:rPr>
      </w:pPr>
      <w:hyperlink w:anchor="_Toc379367203" w:history="1">
        <w:r w:rsidRPr="00405210">
          <w:rPr>
            <w:rStyle w:val="Hyperlink"/>
            <w:noProof/>
          </w:rPr>
          <w:t>B =  le montant de l’ouvrage calculé à la base des prix unitaires du marché et des quantités prévues dans les plans d’exécution.</w:t>
        </w:r>
        <w:r>
          <w:rPr>
            <w:noProof/>
            <w:webHidden/>
          </w:rPr>
          <w:tab/>
        </w:r>
        <w:r>
          <w:rPr>
            <w:noProof/>
            <w:webHidden/>
          </w:rPr>
          <w:fldChar w:fldCharType="begin"/>
        </w:r>
        <w:r>
          <w:rPr>
            <w:noProof/>
            <w:webHidden/>
          </w:rPr>
          <w:instrText xml:space="preserve"> PAGEREF _Toc379367203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960"/>
          <w:tab w:val="right" w:leader="dot" w:pos="9631"/>
        </w:tabs>
        <w:rPr>
          <w:rFonts w:ascii="Times New Roman" w:hAnsi="Times New Roman"/>
          <w:smallCaps w:val="0"/>
          <w:noProof/>
          <w:sz w:val="24"/>
        </w:rPr>
      </w:pPr>
      <w:hyperlink w:anchor="_Toc379367204" w:history="1">
        <w:r w:rsidRPr="00405210">
          <w:rPr>
            <w:rStyle w:val="Hyperlink"/>
            <w:noProof/>
          </w:rPr>
          <w:t>52.6</w:t>
        </w:r>
        <w:r>
          <w:rPr>
            <w:rFonts w:ascii="Times New Roman" w:hAnsi="Times New Roman"/>
            <w:smallCaps w:val="0"/>
            <w:noProof/>
            <w:sz w:val="24"/>
          </w:rPr>
          <w:tab/>
        </w:r>
        <w:r w:rsidRPr="00405210">
          <w:rPr>
            <w:rStyle w:val="Hyperlink"/>
            <w:noProof/>
          </w:rPr>
          <w:t>Paiement des travaux d’équipements</w:t>
        </w:r>
        <w:r>
          <w:rPr>
            <w:noProof/>
            <w:webHidden/>
          </w:rPr>
          <w:tab/>
        </w:r>
        <w:r>
          <w:rPr>
            <w:noProof/>
            <w:webHidden/>
          </w:rPr>
          <w:fldChar w:fldCharType="begin"/>
        </w:r>
        <w:r>
          <w:rPr>
            <w:noProof/>
            <w:webHidden/>
          </w:rPr>
          <w:instrText xml:space="preserve"> PAGEREF _Toc379367204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1440"/>
          <w:tab w:val="right" w:leader="dot" w:pos="9631"/>
        </w:tabs>
        <w:rPr>
          <w:rFonts w:ascii="Times New Roman" w:hAnsi="Times New Roman"/>
          <w:smallCaps w:val="0"/>
          <w:noProof/>
          <w:sz w:val="24"/>
        </w:rPr>
      </w:pPr>
      <w:hyperlink w:anchor="_Toc379367205" w:history="1">
        <w:r w:rsidRPr="00405210">
          <w:rPr>
            <w:rStyle w:val="Hyperlink"/>
            <w:noProof/>
          </w:rPr>
          <w:t>Article 53.</w:t>
        </w:r>
        <w:r>
          <w:rPr>
            <w:rFonts w:ascii="Times New Roman" w:hAnsi="Times New Roman"/>
            <w:smallCaps w:val="0"/>
            <w:noProof/>
            <w:sz w:val="24"/>
          </w:rPr>
          <w:tab/>
        </w:r>
        <w:r w:rsidRPr="00405210">
          <w:rPr>
            <w:rStyle w:val="Hyperlink"/>
            <w:noProof/>
          </w:rPr>
          <w:t xml:space="preserve"> Révision des prix</w:t>
        </w:r>
        <w:r>
          <w:rPr>
            <w:noProof/>
            <w:webHidden/>
          </w:rPr>
          <w:tab/>
        </w:r>
        <w:r>
          <w:rPr>
            <w:noProof/>
            <w:webHidden/>
          </w:rPr>
          <w:fldChar w:fldCharType="begin"/>
        </w:r>
        <w:r>
          <w:rPr>
            <w:noProof/>
            <w:webHidden/>
          </w:rPr>
          <w:instrText xml:space="preserve"> PAGEREF _Toc379367205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1440"/>
          <w:tab w:val="right" w:leader="dot" w:pos="9631"/>
        </w:tabs>
        <w:rPr>
          <w:rFonts w:ascii="Times New Roman" w:hAnsi="Times New Roman"/>
          <w:smallCaps w:val="0"/>
          <w:noProof/>
          <w:sz w:val="24"/>
        </w:rPr>
      </w:pPr>
      <w:hyperlink w:anchor="_Toc379367206" w:history="1">
        <w:r w:rsidRPr="00405210">
          <w:rPr>
            <w:rStyle w:val="Hyperlink"/>
            <w:noProof/>
          </w:rPr>
          <w:t>Article 54.</w:t>
        </w:r>
        <w:r>
          <w:rPr>
            <w:rFonts w:ascii="Times New Roman" w:hAnsi="Times New Roman"/>
            <w:smallCaps w:val="0"/>
            <w:noProof/>
            <w:sz w:val="24"/>
          </w:rPr>
          <w:tab/>
        </w:r>
        <w:r w:rsidRPr="00405210">
          <w:rPr>
            <w:rStyle w:val="Hyperlink"/>
            <w:noProof/>
          </w:rPr>
          <w:t xml:space="preserve"> Garanties financières</w:t>
        </w:r>
        <w:r>
          <w:rPr>
            <w:noProof/>
            <w:webHidden/>
          </w:rPr>
          <w:tab/>
        </w:r>
        <w:r>
          <w:rPr>
            <w:noProof/>
            <w:webHidden/>
          </w:rPr>
          <w:fldChar w:fldCharType="begin"/>
        </w:r>
        <w:r>
          <w:rPr>
            <w:noProof/>
            <w:webHidden/>
          </w:rPr>
          <w:instrText xml:space="preserve"> PAGEREF _Toc379367206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960"/>
          <w:tab w:val="right" w:leader="dot" w:pos="9631"/>
        </w:tabs>
        <w:rPr>
          <w:rFonts w:ascii="Times New Roman" w:hAnsi="Times New Roman"/>
          <w:smallCaps w:val="0"/>
          <w:noProof/>
          <w:sz w:val="24"/>
        </w:rPr>
      </w:pPr>
      <w:hyperlink w:anchor="_Toc379367207" w:history="1">
        <w:r w:rsidRPr="00405210">
          <w:rPr>
            <w:rStyle w:val="Hyperlink"/>
            <w:noProof/>
          </w:rPr>
          <w:t>54.1</w:t>
        </w:r>
        <w:r>
          <w:rPr>
            <w:rFonts w:ascii="Times New Roman" w:hAnsi="Times New Roman"/>
            <w:smallCaps w:val="0"/>
            <w:noProof/>
            <w:sz w:val="24"/>
          </w:rPr>
          <w:tab/>
        </w:r>
        <w:r w:rsidRPr="00405210">
          <w:rPr>
            <w:rStyle w:val="Hyperlink"/>
            <w:noProof/>
          </w:rPr>
          <w:t>Cautionnement provisoire et cautionnement définitif</w:t>
        </w:r>
        <w:r>
          <w:rPr>
            <w:noProof/>
            <w:webHidden/>
          </w:rPr>
          <w:tab/>
        </w:r>
        <w:r>
          <w:rPr>
            <w:noProof/>
            <w:webHidden/>
          </w:rPr>
          <w:fldChar w:fldCharType="begin"/>
        </w:r>
        <w:r>
          <w:rPr>
            <w:noProof/>
            <w:webHidden/>
          </w:rPr>
          <w:instrText xml:space="preserve"> PAGEREF _Toc379367207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right" w:leader="dot" w:pos="9631"/>
        </w:tabs>
        <w:rPr>
          <w:rFonts w:ascii="Times New Roman" w:hAnsi="Times New Roman"/>
          <w:smallCaps w:val="0"/>
          <w:noProof/>
          <w:sz w:val="24"/>
        </w:rPr>
      </w:pPr>
      <w:hyperlink w:anchor="_Toc379367208" w:history="1">
        <w:r w:rsidRPr="00405210">
          <w:rPr>
            <w:rStyle w:val="Hyperlink"/>
            <w:noProof/>
          </w:rPr>
          <w:t>54.3. Autres garanties</w:t>
        </w:r>
        <w:r>
          <w:rPr>
            <w:noProof/>
            <w:webHidden/>
          </w:rPr>
          <w:tab/>
        </w:r>
        <w:r>
          <w:rPr>
            <w:noProof/>
            <w:webHidden/>
          </w:rPr>
          <w:fldChar w:fldCharType="begin"/>
        </w:r>
        <w:r>
          <w:rPr>
            <w:noProof/>
            <w:webHidden/>
          </w:rPr>
          <w:instrText xml:space="preserve"> PAGEREF _Toc379367208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right" w:leader="dot" w:pos="9631"/>
        </w:tabs>
        <w:rPr>
          <w:rFonts w:ascii="Times New Roman" w:hAnsi="Times New Roman"/>
          <w:smallCaps w:val="0"/>
          <w:noProof/>
          <w:sz w:val="24"/>
        </w:rPr>
      </w:pPr>
      <w:hyperlink w:anchor="_Toc379367209" w:history="1">
        <w:r w:rsidRPr="00405210">
          <w:rPr>
            <w:rStyle w:val="Hyperlink"/>
            <w:noProof/>
          </w:rPr>
          <w:t>CHAPITRE VI  -  RÉSILIATION DU MARCHE - RÈGLEMENT DES DIFFÉRENTS ET DES LITIGES</w:t>
        </w:r>
        <w:r>
          <w:rPr>
            <w:noProof/>
            <w:webHidden/>
          </w:rPr>
          <w:tab/>
        </w:r>
        <w:r>
          <w:rPr>
            <w:noProof/>
            <w:webHidden/>
          </w:rPr>
          <w:fldChar w:fldCharType="begin"/>
        </w:r>
        <w:r>
          <w:rPr>
            <w:noProof/>
            <w:webHidden/>
          </w:rPr>
          <w:instrText xml:space="preserve"> PAGEREF _Toc379367209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1440"/>
          <w:tab w:val="right" w:leader="dot" w:pos="9631"/>
        </w:tabs>
        <w:rPr>
          <w:rFonts w:ascii="Times New Roman" w:hAnsi="Times New Roman"/>
          <w:smallCaps w:val="0"/>
          <w:noProof/>
          <w:sz w:val="24"/>
        </w:rPr>
      </w:pPr>
      <w:hyperlink w:anchor="_Toc379367210" w:history="1">
        <w:r w:rsidRPr="00405210">
          <w:rPr>
            <w:rStyle w:val="Hyperlink"/>
            <w:noProof/>
          </w:rPr>
          <w:t>Article 60.</w:t>
        </w:r>
        <w:r>
          <w:rPr>
            <w:rFonts w:ascii="Times New Roman" w:hAnsi="Times New Roman"/>
            <w:smallCaps w:val="0"/>
            <w:noProof/>
            <w:sz w:val="24"/>
          </w:rPr>
          <w:tab/>
        </w:r>
        <w:r w:rsidRPr="00405210">
          <w:rPr>
            <w:rStyle w:val="Hyperlink"/>
            <w:noProof/>
          </w:rPr>
          <w:t>Résiliation du marché</w:t>
        </w:r>
        <w:r>
          <w:rPr>
            <w:noProof/>
            <w:webHidden/>
          </w:rPr>
          <w:tab/>
        </w:r>
        <w:r>
          <w:rPr>
            <w:noProof/>
            <w:webHidden/>
          </w:rPr>
          <w:fldChar w:fldCharType="begin"/>
        </w:r>
        <w:r>
          <w:rPr>
            <w:noProof/>
            <w:webHidden/>
          </w:rPr>
          <w:instrText xml:space="preserve"> PAGEREF _Toc379367210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right" w:leader="dot" w:pos="9631"/>
        </w:tabs>
        <w:rPr>
          <w:rFonts w:ascii="Times New Roman" w:hAnsi="Times New Roman"/>
          <w:smallCaps w:val="0"/>
          <w:noProof/>
          <w:sz w:val="24"/>
        </w:rPr>
      </w:pPr>
      <w:hyperlink w:anchor="_Toc379367211" w:history="1">
        <w:r w:rsidRPr="00405210">
          <w:rPr>
            <w:rStyle w:val="Hyperlink"/>
            <w:noProof/>
          </w:rPr>
          <w:t>CHAPITRE VII  -  PRESCRIPTIONS DIVERSES</w:t>
        </w:r>
        <w:r>
          <w:rPr>
            <w:noProof/>
            <w:webHidden/>
          </w:rPr>
          <w:tab/>
        </w:r>
        <w:r>
          <w:rPr>
            <w:noProof/>
            <w:webHidden/>
          </w:rPr>
          <w:fldChar w:fldCharType="begin"/>
        </w:r>
        <w:r>
          <w:rPr>
            <w:noProof/>
            <w:webHidden/>
          </w:rPr>
          <w:instrText xml:space="preserve"> PAGEREF _Toc379367211 \h </w:instrText>
        </w:r>
        <w:r>
          <w:rPr>
            <w:noProof/>
          </w:rPr>
        </w:r>
        <w:r>
          <w:rPr>
            <w:noProof/>
            <w:webHidden/>
          </w:rPr>
          <w:fldChar w:fldCharType="separate"/>
        </w:r>
        <w:r>
          <w:rPr>
            <w:noProof/>
            <w:webHidden/>
          </w:rPr>
          <w:t>3</w:t>
        </w:r>
        <w:r>
          <w:rPr>
            <w:noProof/>
            <w:webHidden/>
          </w:rPr>
          <w:fldChar w:fldCharType="end"/>
        </w:r>
      </w:hyperlink>
    </w:p>
    <w:p w:rsidR="001D5121" w:rsidRDefault="001D5121">
      <w:pPr>
        <w:pStyle w:val="TOC2"/>
        <w:tabs>
          <w:tab w:val="left" w:pos="1440"/>
          <w:tab w:val="right" w:leader="dot" w:pos="9631"/>
        </w:tabs>
        <w:rPr>
          <w:rFonts w:ascii="Times New Roman" w:hAnsi="Times New Roman"/>
          <w:smallCaps w:val="0"/>
          <w:noProof/>
          <w:sz w:val="24"/>
        </w:rPr>
      </w:pPr>
      <w:hyperlink w:anchor="_Toc379367212" w:history="1">
        <w:r w:rsidRPr="00405210">
          <w:rPr>
            <w:rStyle w:val="Hyperlink"/>
            <w:noProof/>
          </w:rPr>
          <w:t>Article 70.</w:t>
        </w:r>
        <w:r>
          <w:rPr>
            <w:rFonts w:ascii="Times New Roman" w:hAnsi="Times New Roman"/>
            <w:smallCaps w:val="0"/>
            <w:noProof/>
            <w:sz w:val="24"/>
          </w:rPr>
          <w:tab/>
        </w:r>
        <w:r w:rsidRPr="00405210">
          <w:rPr>
            <w:rStyle w:val="Hyperlink"/>
            <w:noProof/>
          </w:rPr>
          <w:t xml:space="preserve"> Dérogations au présent cahier</w:t>
        </w:r>
        <w:r>
          <w:rPr>
            <w:noProof/>
            <w:webHidden/>
          </w:rPr>
          <w:tab/>
        </w:r>
        <w:r>
          <w:rPr>
            <w:noProof/>
            <w:webHidden/>
          </w:rPr>
          <w:fldChar w:fldCharType="begin"/>
        </w:r>
        <w:r>
          <w:rPr>
            <w:noProof/>
            <w:webHidden/>
          </w:rPr>
          <w:instrText xml:space="preserve"> PAGEREF _Toc379367212 \h </w:instrText>
        </w:r>
        <w:r>
          <w:rPr>
            <w:noProof/>
          </w:rPr>
        </w:r>
        <w:r>
          <w:rPr>
            <w:noProof/>
            <w:webHidden/>
          </w:rPr>
          <w:fldChar w:fldCharType="separate"/>
        </w:r>
        <w:r>
          <w:rPr>
            <w:noProof/>
            <w:webHidden/>
          </w:rPr>
          <w:t>3</w:t>
        </w:r>
        <w:r>
          <w:rPr>
            <w:noProof/>
            <w:webHidden/>
          </w:rPr>
          <w:fldChar w:fldCharType="end"/>
        </w:r>
      </w:hyperlink>
    </w:p>
    <w:p w:rsidR="001D5121" w:rsidRPr="003D4E1A" w:rsidRDefault="001D5121" w:rsidP="00D6621C">
      <w:pPr>
        <w:pStyle w:val="TOC2"/>
        <w:keepNext/>
        <w:keepLines/>
        <w:spacing w:before="240"/>
        <w:ind w:left="238"/>
        <w:rPr>
          <w:b/>
          <w:bCs/>
          <w:color w:val="0000FF"/>
          <w:sz w:val="28"/>
          <w:szCs w:val="28"/>
          <w:lang w:eastAsia="en-US"/>
        </w:rPr>
      </w:pPr>
      <w:r w:rsidRPr="003D4E1A">
        <w:rPr>
          <w:b/>
          <w:sz w:val="24"/>
          <w:lang w:eastAsia="en-US"/>
        </w:rPr>
        <w:fldChar w:fldCharType="end"/>
      </w:r>
      <w:r w:rsidRPr="003D4E1A">
        <w:rPr>
          <w:b/>
          <w:sz w:val="24"/>
          <w:lang w:eastAsia="en-US"/>
        </w:rPr>
        <w:br w:type="page"/>
      </w:r>
      <w:bookmarkStart w:id="0" w:name="_Toc38851777"/>
      <w:bookmarkStart w:id="1" w:name="_Toc286155927"/>
      <w:r w:rsidRPr="003D4E1A">
        <w:rPr>
          <w:b/>
          <w:bCs/>
          <w:color w:val="0000FF"/>
          <w:sz w:val="28"/>
          <w:szCs w:val="28"/>
          <w:lang w:eastAsia="en-US"/>
        </w:rPr>
        <w:t>PREAMBULE</w:t>
      </w:r>
      <w:bookmarkEnd w:id="0"/>
      <w:bookmarkEnd w:id="1"/>
    </w:p>
    <w:p w:rsidR="001D5121" w:rsidRPr="003D4E1A" w:rsidRDefault="001D5121" w:rsidP="00635CF0">
      <w:pPr>
        <w:spacing w:before="120"/>
        <w:jc w:val="both"/>
        <w:rPr>
          <w:rFonts w:ascii="Calibri" w:hAnsi="Calibri" w:cs="Calibri"/>
          <w:sz w:val="22"/>
          <w:szCs w:val="20"/>
          <w:lang w:eastAsia="en-US"/>
        </w:rPr>
      </w:pPr>
      <w:r w:rsidRPr="003D4E1A">
        <w:rPr>
          <w:rFonts w:ascii="Calibri" w:hAnsi="Calibri" w:cs="Arial"/>
          <w:bCs/>
          <w:sz w:val="22"/>
          <w:szCs w:val="20"/>
          <w:lang w:eastAsia="en-US"/>
        </w:rPr>
        <w:t>Le Cahier des Clauses Administratives et Financières comporte deux parties : les clauses générales (CCAFG) et les</w:t>
      </w:r>
      <w:r w:rsidRPr="003D4E1A">
        <w:rPr>
          <w:rFonts w:ascii="Calibri" w:hAnsi="Calibri" w:cs="Calibri"/>
          <w:sz w:val="22"/>
          <w:szCs w:val="20"/>
          <w:lang w:eastAsia="en-US"/>
        </w:rPr>
        <w:t xml:space="preserve"> clauses particulières (CCAFP).</w:t>
      </w:r>
    </w:p>
    <w:p w:rsidR="001D5121" w:rsidRPr="003D4E1A" w:rsidRDefault="001D5121" w:rsidP="00635CF0">
      <w:pPr>
        <w:spacing w:before="120"/>
        <w:jc w:val="both"/>
        <w:rPr>
          <w:rFonts w:ascii="Calibri" w:hAnsi="Calibri" w:cs="Calibri"/>
          <w:i/>
          <w:iCs/>
          <w:color w:val="0000FF"/>
          <w:sz w:val="22"/>
          <w:szCs w:val="20"/>
          <w:lang w:eastAsia="en-US"/>
        </w:rPr>
      </w:pPr>
      <w:r w:rsidRPr="003D4E1A">
        <w:rPr>
          <w:rFonts w:ascii="Calibri" w:hAnsi="Calibri" w:cs="Calibri"/>
          <w:sz w:val="22"/>
          <w:szCs w:val="20"/>
          <w:lang w:eastAsia="en-US"/>
        </w:rPr>
        <w:t xml:space="preserve">Le présent Cahier des Clauses Administratives et Financières concerne les clauses particulières (CCAFP). </w:t>
      </w:r>
      <w:r w:rsidRPr="003D4E1A">
        <w:rPr>
          <w:rFonts w:ascii="Calibri" w:hAnsi="Calibri" w:cs="Calibri"/>
          <w:sz w:val="22"/>
          <w:szCs w:val="20"/>
          <w:lang w:eastAsia="en-US"/>
        </w:rPr>
        <w:br/>
        <w:t>Il développe, complète ou modifie les clauses générales qui restent applicables à moins que les clauses du CCAFP n’y dérogent.</w:t>
      </w:r>
    </w:p>
    <w:p w:rsidR="001D5121" w:rsidRPr="003D4E1A" w:rsidRDefault="001D5121" w:rsidP="00635CF0">
      <w:pPr>
        <w:spacing w:before="120"/>
        <w:jc w:val="both"/>
        <w:rPr>
          <w:rFonts w:ascii="Calibri" w:hAnsi="Calibri" w:cs="Calibri"/>
          <w:sz w:val="22"/>
          <w:lang w:eastAsia="en-US"/>
        </w:rPr>
      </w:pPr>
      <w:r w:rsidRPr="003D4E1A">
        <w:rPr>
          <w:rFonts w:ascii="Calibri" w:hAnsi="Calibri" w:cs="Calibri"/>
          <w:sz w:val="22"/>
          <w:szCs w:val="20"/>
          <w:lang w:eastAsia="en-US"/>
        </w:rPr>
        <w:t>Les deux cahiers sont reliés par le numérotage des articles. Les numéros des articles du CCAFP ne sont pas consécutifs et suivent ceux des articles du CCAFG</w:t>
      </w:r>
      <w:r w:rsidRPr="003D4E1A">
        <w:rPr>
          <w:rFonts w:ascii="Calibri" w:hAnsi="Calibri" w:cs="Calibri"/>
          <w:sz w:val="22"/>
          <w:lang w:eastAsia="en-US"/>
        </w:rPr>
        <w:t xml:space="preserve">. </w:t>
      </w:r>
    </w:p>
    <w:p w:rsidR="001D5121" w:rsidRPr="003D4E1A" w:rsidRDefault="001D5121" w:rsidP="00590EA9">
      <w:pPr>
        <w:pStyle w:val="Heading2"/>
      </w:pPr>
    </w:p>
    <w:p w:rsidR="001D5121" w:rsidRPr="003D4E1A" w:rsidRDefault="001D5121">
      <w:pPr>
        <w:rPr>
          <w:rFonts w:ascii="Calibri" w:hAnsi="Calibri"/>
        </w:rPr>
      </w:pPr>
    </w:p>
    <w:p w:rsidR="001D5121" w:rsidRPr="003D4E1A" w:rsidRDefault="001D5121">
      <w:pPr>
        <w:rPr>
          <w:rFonts w:ascii="Calibri" w:hAnsi="Calibri"/>
        </w:rPr>
      </w:pPr>
    </w:p>
    <w:p w:rsidR="001D5121" w:rsidRPr="003D4E1A" w:rsidRDefault="001D5121">
      <w:pPr>
        <w:rPr>
          <w:rFonts w:ascii="Calibri" w:hAnsi="Calibri"/>
        </w:rPr>
      </w:pPr>
    </w:p>
    <w:p w:rsidR="001D5121" w:rsidRPr="003D4E1A" w:rsidRDefault="001D5121">
      <w:pPr>
        <w:rPr>
          <w:rFonts w:ascii="Calibri" w:hAnsi="Calibri"/>
        </w:rPr>
      </w:pPr>
    </w:p>
    <w:p w:rsidR="001D5121" w:rsidRPr="003D4E1A" w:rsidRDefault="001D5121" w:rsidP="00590EA9">
      <w:pPr>
        <w:pStyle w:val="Heading2"/>
      </w:pPr>
      <w:r w:rsidRPr="003D4E1A">
        <w:rPr>
          <w:sz w:val="20"/>
          <w:szCs w:val="20"/>
        </w:rPr>
        <w:br w:type="page"/>
      </w:r>
      <w:bookmarkStart w:id="2" w:name="_Toc358977828"/>
      <w:bookmarkStart w:id="3" w:name="_Toc379367160"/>
      <w:r w:rsidRPr="003D4E1A">
        <w:t>CHAPITRE PRELIMINAIRE -  DISPOSITIONS GENERALES</w:t>
      </w:r>
      <w:bookmarkEnd w:id="2"/>
      <w:bookmarkEnd w:id="3"/>
    </w:p>
    <w:p w:rsidR="001D5121" w:rsidRPr="003D4E1A" w:rsidRDefault="001D5121" w:rsidP="00590EA9">
      <w:pPr>
        <w:pStyle w:val="Heading2"/>
      </w:pPr>
      <w:bookmarkStart w:id="4" w:name="_Toc358977829"/>
      <w:bookmarkStart w:id="5" w:name="_Toc379367161"/>
      <w:r w:rsidRPr="003D4E1A">
        <w:t>Article 1.</w:t>
      </w:r>
      <w:r w:rsidRPr="003D4E1A">
        <w:tab/>
        <w:t>Objet du marché</w:t>
      </w:r>
      <w:bookmarkEnd w:id="4"/>
      <w:bookmarkEnd w:id="5"/>
    </w:p>
    <w:p w:rsidR="001D5121" w:rsidRPr="003D4E1A" w:rsidRDefault="001D5121">
      <w:pPr>
        <w:spacing w:after="60"/>
        <w:rPr>
          <w:rFonts w:ascii="Calibri" w:hAnsi="Calibri" w:cs="Calibri"/>
          <w:sz w:val="22"/>
          <w:szCs w:val="20"/>
          <w:u w:val="single"/>
        </w:rPr>
      </w:pPr>
      <w:r w:rsidRPr="003D4E1A">
        <w:rPr>
          <w:rFonts w:ascii="Calibri" w:hAnsi="Calibri" w:cs="Calibri"/>
          <w:sz w:val="22"/>
          <w:szCs w:val="20"/>
          <w:u w:val="single"/>
        </w:rPr>
        <w:t>1.1 Consistance du projet :</w:t>
      </w:r>
    </w:p>
    <w:p w:rsidR="001D5121" w:rsidRPr="003D4E1A" w:rsidRDefault="001D5121" w:rsidP="00F956F1">
      <w:pPr>
        <w:jc w:val="both"/>
        <w:rPr>
          <w:rFonts w:ascii="Calibri" w:hAnsi="Calibri" w:cs="Arial"/>
          <w:sz w:val="22"/>
          <w:szCs w:val="20"/>
        </w:rPr>
      </w:pPr>
      <w:r w:rsidRPr="003D4E1A">
        <w:rPr>
          <w:rFonts w:ascii="Calibri" w:hAnsi="Calibri" w:cs="Arial"/>
          <w:sz w:val="22"/>
          <w:szCs w:val="20"/>
        </w:rPr>
        <w:t>Dans le cadre du renforcement de l’Alimentation en Eau Potable (AEP) des populations urbaines et rurales de la province de Chichaoua, l’ONEE envisage la réalisation d’une adduction d’eau à partir du barrage Tassekourt.</w:t>
      </w:r>
    </w:p>
    <w:p w:rsidR="001D5121" w:rsidRPr="003D4E1A" w:rsidRDefault="001D5121" w:rsidP="00F956F1">
      <w:pPr>
        <w:jc w:val="both"/>
        <w:rPr>
          <w:rFonts w:ascii="Calibri" w:hAnsi="Calibri" w:cs="Arial"/>
          <w:sz w:val="22"/>
          <w:szCs w:val="20"/>
        </w:rPr>
      </w:pPr>
      <w:r w:rsidRPr="003D4E1A">
        <w:rPr>
          <w:rFonts w:ascii="Calibri" w:hAnsi="Calibri" w:cs="Arial"/>
          <w:sz w:val="22"/>
          <w:szCs w:val="20"/>
        </w:rPr>
        <w:t>Le projet consiste en la réalisation des ouvrages suivants :</w:t>
      </w:r>
    </w:p>
    <w:p w:rsidR="001D5121" w:rsidRPr="003D4E1A" w:rsidRDefault="001D5121" w:rsidP="00485A8F">
      <w:pPr>
        <w:pStyle w:val="BodyText3"/>
        <w:keepNext w:val="0"/>
        <w:numPr>
          <w:ilvl w:val="0"/>
          <w:numId w:val="22"/>
        </w:numPr>
        <w:spacing w:before="60" w:after="60"/>
        <w:ind w:left="714" w:hanging="357"/>
        <w:rPr>
          <w:rFonts w:ascii="Calibri" w:hAnsi="Calibri" w:cs="Tahoma"/>
          <w:szCs w:val="20"/>
        </w:rPr>
      </w:pPr>
      <w:r w:rsidRPr="003D4E1A">
        <w:rPr>
          <w:rFonts w:ascii="Calibri" w:hAnsi="Calibri" w:cs="Tahoma"/>
          <w:szCs w:val="20"/>
        </w:rPr>
        <w:t>Une adduction d’eau brute en fonte ductile DN600 de longueur 16 km ;</w:t>
      </w:r>
    </w:p>
    <w:p w:rsidR="001D5121" w:rsidRPr="003D4E1A" w:rsidRDefault="001D5121" w:rsidP="00485A8F">
      <w:pPr>
        <w:pStyle w:val="BodyText3"/>
        <w:keepNext w:val="0"/>
        <w:numPr>
          <w:ilvl w:val="0"/>
          <w:numId w:val="22"/>
        </w:numPr>
        <w:spacing w:before="60" w:after="60"/>
        <w:ind w:left="714" w:hanging="357"/>
        <w:rPr>
          <w:rFonts w:ascii="Calibri" w:hAnsi="Calibri" w:cs="Tahoma"/>
          <w:szCs w:val="20"/>
        </w:rPr>
      </w:pPr>
      <w:r w:rsidRPr="003D4E1A">
        <w:rPr>
          <w:rFonts w:ascii="Calibri" w:hAnsi="Calibri" w:cs="Tahoma"/>
          <w:szCs w:val="20"/>
        </w:rPr>
        <w:t xml:space="preserve">Une station de traitement (ST) et ses ouvrages annexes conçue pour produire un débit d’eau potable de 300 l/s à partir d’une eau brute présentant une charge en MES pouvant atteindre 2 g/l (MES ≤ 2 g/l) et de 150 l/s à partir d’une eau brute présentant une charge en MES pouvant atteindre 10 g/l (MES ≤ 10 g/l). </w:t>
      </w:r>
    </w:p>
    <w:p w:rsidR="001D5121" w:rsidRPr="003D4E1A" w:rsidRDefault="001D5121" w:rsidP="00485A8F">
      <w:pPr>
        <w:pStyle w:val="BodyText3"/>
        <w:keepNext w:val="0"/>
        <w:numPr>
          <w:ilvl w:val="0"/>
          <w:numId w:val="22"/>
        </w:numPr>
        <w:spacing w:before="60" w:after="60"/>
        <w:ind w:left="714" w:hanging="357"/>
        <w:rPr>
          <w:rFonts w:ascii="Calibri" w:hAnsi="Calibri" w:cs="Tahoma"/>
          <w:szCs w:val="20"/>
        </w:rPr>
      </w:pPr>
      <w:r w:rsidRPr="003D4E1A">
        <w:rPr>
          <w:rFonts w:ascii="Calibri" w:hAnsi="Calibri" w:cs="Tahoma"/>
          <w:szCs w:val="20"/>
        </w:rPr>
        <w:t xml:space="preserve">Trois stations de pompage, y compris la station de pompage d’eau traitée de </w:t>
      </w:r>
      <w:smartTag w:uri="urn:schemas-microsoft-com:office:smarttags" w:element="PersonName">
        <w:smartTagPr>
          <w:attr w:name="ProductID" w:val="la ST."/>
        </w:smartTagPr>
        <w:r w:rsidRPr="003D4E1A">
          <w:rPr>
            <w:rFonts w:ascii="Calibri" w:hAnsi="Calibri" w:cs="Tahoma"/>
            <w:szCs w:val="20"/>
          </w:rPr>
          <w:t>la ST.</w:t>
        </w:r>
      </w:smartTag>
    </w:p>
    <w:p w:rsidR="001D5121" w:rsidRPr="003D4E1A" w:rsidRDefault="001D5121" w:rsidP="00485A8F">
      <w:pPr>
        <w:pStyle w:val="BodyText3"/>
        <w:keepNext w:val="0"/>
        <w:numPr>
          <w:ilvl w:val="0"/>
          <w:numId w:val="22"/>
        </w:numPr>
        <w:spacing w:before="60" w:after="60"/>
        <w:ind w:left="714" w:hanging="357"/>
        <w:rPr>
          <w:rFonts w:ascii="Calibri" w:hAnsi="Calibri" w:cs="Tahoma"/>
          <w:szCs w:val="20"/>
        </w:rPr>
      </w:pPr>
      <w:r w:rsidRPr="003D4E1A">
        <w:rPr>
          <w:rFonts w:ascii="Calibri" w:hAnsi="Calibri" w:cs="Tahoma"/>
          <w:szCs w:val="20"/>
        </w:rPr>
        <w:t>Trois réservoirs semi-enterrés.</w:t>
      </w:r>
    </w:p>
    <w:p w:rsidR="001D5121" w:rsidRPr="003D4E1A" w:rsidRDefault="001D5121" w:rsidP="00485A8F">
      <w:pPr>
        <w:pStyle w:val="BodyText3"/>
        <w:keepNext w:val="0"/>
        <w:numPr>
          <w:ilvl w:val="0"/>
          <w:numId w:val="22"/>
        </w:numPr>
        <w:spacing w:before="60" w:after="60"/>
        <w:ind w:left="714" w:hanging="357"/>
        <w:rPr>
          <w:rFonts w:ascii="Calibri" w:hAnsi="Calibri" w:cs="Tahoma"/>
          <w:szCs w:val="20"/>
        </w:rPr>
      </w:pPr>
      <w:r w:rsidRPr="003D4E1A">
        <w:rPr>
          <w:rFonts w:ascii="Calibri" w:hAnsi="Calibri" w:cs="Tahoma"/>
          <w:szCs w:val="20"/>
        </w:rPr>
        <w:t xml:space="preserve">Conduites d’adduction de longueur totale </w:t>
      </w:r>
      <w:smartTag w:uri="urn:schemas-microsoft-com:office:smarttags" w:element="PersonName">
        <w:smartTagPr>
          <w:attr w:name="ProductID" w:val="la KFW"/>
        </w:smartTagPr>
        <w:smartTag w:uri="urn:schemas-microsoft-com:office:smarttags" w:element="metricconverter">
          <w:smartTagPr>
            <w:attr w:name="ProductID" w:val="175 km"/>
          </w:smartTagPr>
          <w:r w:rsidRPr="003D4E1A">
            <w:rPr>
              <w:rFonts w:ascii="Calibri" w:hAnsi="Calibri" w:cs="Tahoma"/>
              <w:szCs w:val="20"/>
            </w:rPr>
            <w:t>175 km</w:t>
          </w:r>
        </w:smartTag>
      </w:smartTag>
      <w:r w:rsidRPr="003D4E1A">
        <w:rPr>
          <w:rFonts w:ascii="Calibri" w:hAnsi="Calibri" w:cs="Tahoma"/>
          <w:szCs w:val="20"/>
        </w:rPr>
        <w:t xml:space="preserve">, en BP, PVC et fonte ductile et de diamètre DN315 à </w:t>
      </w:r>
      <w:smartTag w:uri="urn:schemas-microsoft-com:office:smarttags" w:element="PersonName">
        <w:smartTagPr>
          <w:attr w:name="ProductID" w:val="la KFW"/>
        </w:smartTagPr>
        <w:smartTag w:uri="urn:schemas-microsoft-com:office:smarttags" w:element="metricconverter">
          <w:smartTagPr>
            <w:attr w:name="ProductID" w:val="600 mm"/>
          </w:smartTagPr>
          <w:r w:rsidRPr="003D4E1A">
            <w:rPr>
              <w:rFonts w:ascii="Calibri" w:hAnsi="Calibri" w:cs="Tahoma"/>
              <w:szCs w:val="20"/>
            </w:rPr>
            <w:t>600 mm</w:t>
          </w:r>
        </w:smartTag>
      </w:smartTag>
      <w:r w:rsidRPr="003D4E1A">
        <w:rPr>
          <w:rFonts w:ascii="Calibri" w:hAnsi="Calibri" w:cs="Tahoma"/>
          <w:szCs w:val="20"/>
        </w:rPr>
        <w:t>.</w:t>
      </w:r>
    </w:p>
    <w:p w:rsidR="001D5121" w:rsidRPr="003D4E1A" w:rsidRDefault="001D5121">
      <w:pPr>
        <w:spacing w:after="60"/>
        <w:rPr>
          <w:rFonts w:ascii="Calibri" w:hAnsi="Calibri" w:cs="Calibri"/>
          <w:sz w:val="22"/>
          <w:szCs w:val="20"/>
          <w:u w:val="single"/>
        </w:rPr>
      </w:pPr>
      <w:r w:rsidRPr="003D4E1A">
        <w:rPr>
          <w:rFonts w:ascii="Calibri" w:hAnsi="Calibri" w:cs="Calibri"/>
          <w:sz w:val="22"/>
          <w:szCs w:val="20"/>
          <w:u w:val="single"/>
        </w:rPr>
        <w:t>1.2. Objet du marché :</w:t>
      </w:r>
    </w:p>
    <w:p w:rsidR="001D5121" w:rsidRPr="003D4E1A" w:rsidRDefault="001D5121" w:rsidP="005D2810">
      <w:pPr>
        <w:jc w:val="both"/>
        <w:rPr>
          <w:rFonts w:ascii="Calibri" w:hAnsi="Calibri" w:cs="Arial"/>
          <w:sz w:val="22"/>
          <w:szCs w:val="20"/>
        </w:rPr>
      </w:pPr>
      <w:r w:rsidRPr="003D4E1A">
        <w:rPr>
          <w:rFonts w:ascii="Calibri" w:hAnsi="Calibri" w:cs="Arial"/>
          <w:sz w:val="22"/>
          <w:szCs w:val="20"/>
        </w:rPr>
        <w:t xml:space="preserve">Le présent marché a pour objet la réalisation des travaux prévus dans le Lot N°1 : </w:t>
      </w:r>
      <w:r w:rsidRPr="003D4E1A">
        <w:rPr>
          <w:rFonts w:ascii="Calibri" w:hAnsi="Calibri" w:cs="Arial"/>
          <w:b/>
          <w:bCs/>
          <w:sz w:val="22"/>
          <w:szCs w:val="20"/>
          <w:u w:val="single"/>
        </w:rPr>
        <w:t>Station de traitement</w:t>
      </w:r>
      <w:r w:rsidRPr="003D4E1A">
        <w:rPr>
          <w:rFonts w:ascii="Calibri" w:hAnsi="Calibri" w:cs="Arial"/>
          <w:sz w:val="22"/>
          <w:szCs w:val="20"/>
        </w:rPr>
        <w:t>. Ce lot englobe les travaux suivants :</w:t>
      </w:r>
    </w:p>
    <w:p w:rsidR="001D5121" w:rsidRPr="003D4E1A" w:rsidRDefault="001D5121" w:rsidP="00485A8F">
      <w:pPr>
        <w:numPr>
          <w:ilvl w:val="0"/>
          <w:numId w:val="22"/>
        </w:numPr>
        <w:tabs>
          <w:tab w:val="clear" w:pos="720"/>
          <w:tab w:val="num" w:pos="540"/>
        </w:tabs>
        <w:spacing w:before="60" w:after="60"/>
        <w:ind w:left="540" w:hanging="183"/>
        <w:jc w:val="both"/>
        <w:rPr>
          <w:rFonts w:ascii="Calibri" w:hAnsi="Calibri" w:cs="Tahoma"/>
          <w:sz w:val="20"/>
          <w:szCs w:val="20"/>
        </w:rPr>
      </w:pPr>
      <w:r w:rsidRPr="003D4E1A">
        <w:rPr>
          <w:rFonts w:ascii="Calibri" w:hAnsi="Calibri" w:cs="Tahoma"/>
          <w:sz w:val="20"/>
          <w:szCs w:val="20"/>
        </w:rPr>
        <w:t xml:space="preserve">Réalisation de </w:t>
      </w:r>
      <w:smartTag w:uri="urn:schemas-microsoft-com:office:smarttags" w:element="PersonName">
        <w:smartTagPr>
          <w:attr w:name="ProductID" w:val="la ST"/>
        </w:smartTagPr>
        <w:r w:rsidRPr="003D4E1A">
          <w:rPr>
            <w:rFonts w:ascii="Calibri" w:hAnsi="Calibri" w:cs="Tahoma"/>
            <w:sz w:val="20"/>
            <w:szCs w:val="20"/>
          </w:rPr>
          <w:t>la ST</w:t>
        </w:r>
      </w:smartTag>
      <w:r w:rsidRPr="003D4E1A">
        <w:rPr>
          <w:rFonts w:ascii="Calibri" w:hAnsi="Calibri" w:cs="Tahoma"/>
          <w:sz w:val="20"/>
          <w:szCs w:val="20"/>
        </w:rPr>
        <w:t xml:space="preserve"> conçue pour produire un débit d’eau potable de 300 l/s à partir d’une eau brute présentant une charge en MES pouvant atteindre 2 g/l (MES ≤ 2 g/l) et de 150 l/s à partir d’une eau brute présentant une charge en MES pouvant atteindre 10 g/l (MES ≤ 10 g/l).</w:t>
      </w:r>
    </w:p>
    <w:p w:rsidR="001D5121" w:rsidRPr="003D4E1A" w:rsidRDefault="001D5121" w:rsidP="00485A8F">
      <w:pPr>
        <w:numPr>
          <w:ilvl w:val="0"/>
          <w:numId w:val="22"/>
        </w:numPr>
        <w:tabs>
          <w:tab w:val="clear" w:pos="720"/>
          <w:tab w:val="num" w:pos="540"/>
        </w:tabs>
        <w:spacing w:before="60" w:after="60"/>
        <w:ind w:left="540" w:hanging="183"/>
        <w:jc w:val="both"/>
        <w:rPr>
          <w:rFonts w:ascii="Calibri" w:hAnsi="Calibri" w:cs="Tahoma"/>
          <w:sz w:val="20"/>
          <w:szCs w:val="20"/>
        </w:rPr>
      </w:pPr>
      <w:r w:rsidRPr="003D4E1A">
        <w:rPr>
          <w:rFonts w:ascii="Calibri" w:hAnsi="Calibri" w:cs="Tahoma"/>
          <w:sz w:val="20"/>
          <w:szCs w:val="20"/>
        </w:rPr>
        <w:t xml:space="preserve">Réalisation des ouvrages et équipements annexes de </w:t>
      </w:r>
      <w:smartTag w:uri="urn:schemas-microsoft-com:office:smarttags" w:element="PersonName">
        <w:smartTagPr>
          <w:attr w:name="ProductID" w:val="la ST"/>
        </w:smartTagPr>
        <w:r w:rsidRPr="003D4E1A">
          <w:rPr>
            <w:rFonts w:ascii="Calibri" w:hAnsi="Calibri" w:cs="Tahoma"/>
            <w:sz w:val="20"/>
            <w:szCs w:val="20"/>
          </w:rPr>
          <w:t>la ST</w:t>
        </w:r>
      </w:smartTag>
      <w:r w:rsidRPr="003D4E1A">
        <w:rPr>
          <w:rFonts w:ascii="Calibri" w:hAnsi="Calibri" w:cs="Tahoma"/>
          <w:sz w:val="20"/>
          <w:szCs w:val="20"/>
        </w:rPr>
        <w:t xml:space="preserve"> (bâtiments de chloration et des réactifs, installations de récupération des eaux de lavage des filtres et de collecte des boues, équipements électriques et d’automatisation, etc..) ;</w:t>
      </w:r>
    </w:p>
    <w:p w:rsidR="001D5121" w:rsidRPr="003D4E1A" w:rsidRDefault="001D5121" w:rsidP="00485A8F">
      <w:pPr>
        <w:numPr>
          <w:ilvl w:val="0"/>
          <w:numId w:val="22"/>
        </w:numPr>
        <w:tabs>
          <w:tab w:val="clear" w:pos="720"/>
          <w:tab w:val="num" w:pos="540"/>
        </w:tabs>
        <w:spacing w:before="60" w:after="60"/>
        <w:ind w:left="540" w:hanging="183"/>
        <w:jc w:val="both"/>
        <w:rPr>
          <w:rFonts w:ascii="Calibri" w:hAnsi="Calibri" w:cs="Tahoma"/>
          <w:sz w:val="20"/>
          <w:szCs w:val="20"/>
        </w:rPr>
      </w:pPr>
      <w:r w:rsidRPr="003D4E1A">
        <w:rPr>
          <w:rFonts w:ascii="Calibri" w:hAnsi="Calibri" w:cs="Tahoma"/>
          <w:sz w:val="20"/>
          <w:szCs w:val="20"/>
        </w:rPr>
        <w:t>Réalisation d’un réservoir d’eau traitée de 2500 m³.</w:t>
      </w:r>
    </w:p>
    <w:p w:rsidR="001D5121" w:rsidRPr="003D4E1A" w:rsidRDefault="001D5121" w:rsidP="00000938">
      <w:pPr>
        <w:pStyle w:val="Bullet1"/>
        <w:spacing w:before="120" w:after="120"/>
        <w:ind w:left="284" w:hanging="284"/>
        <w:rPr>
          <w:rFonts w:ascii="Calibri" w:hAnsi="Calibri" w:cs="Tahoma"/>
        </w:rPr>
      </w:pPr>
      <w:r w:rsidRPr="003D4E1A">
        <w:rPr>
          <w:rFonts w:ascii="Calibri" w:hAnsi="Calibri" w:cs="Tahoma"/>
        </w:rPr>
        <w:t>Ce lot est scindé en 3 parties qui englobent les travaux suivants :</w:t>
      </w:r>
    </w:p>
    <w:p w:rsidR="001D5121" w:rsidRPr="003D4E1A" w:rsidRDefault="001D5121" w:rsidP="00485A8F">
      <w:pPr>
        <w:numPr>
          <w:ilvl w:val="0"/>
          <w:numId w:val="23"/>
        </w:numPr>
        <w:tabs>
          <w:tab w:val="clear" w:pos="1440"/>
          <w:tab w:val="left" w:pos="-720"/>
          <w:tab w:val="left" w:pos="360"/>
        </w:tabs>
        <w:suppressAutoHyphens/>
        <w:spacing w:line="264" w:lineRule="auto"/>
        <w:ind w:left="360" w:right="-7"/>
        <w:jc w:val="both"/>
        <w:rPr>
          <w:rFonts w:ascii="Calibri" w:hAnsi="Calibri" w:cs="Tahoma"/>
          <w:b/>
          <w:bCs/>
          <w:sz w:val="20"/>
          <w:szCs w:val="20"/>
        </w:rPr>
      </w:pPr>
      <w:r w:rsidRPr="003D4E1A">
        <w:rPr>
          <w:rFonts w:ascii="Calibri" w:hAnsi="Calibri" w:cs="Tahoma"/>
          <w:b/>
          <w:bCs/>
          <w:sz w:val="20"/>
          <w:szCs w:val="20"/>
        </w:rPr>
        <w:t>PARTIE A : ETUDE </w:t>
      </w:r>
      <w:r>
        <w:rPr>
          <w:rFonts w:ascii="Calibri" w:hAnsi="Calibri" w:cs="Tahoma"/>
          <w:b/>
          <w:bCs/>
          <w:sz w:val="20"/>
          <w:szCs w:val="20"/>
        </w:rPr>
        <w:t>&amp; CHANTIER</w:t>
      </w:r>
    </w:p>
    <w:p w:rsidR="001D5121" w:rsidRPr="003D4E1A" w:rsidRDefault="001D5121" w:rsidP="005D2810">
      <w:pPr>
        <w:spacing w:before="60" w:after="60"/>
        <w:ind w:left="357"/>
        <w:jc w:val="both"/>
        <w:rPr>
          <w:rFonts w:ascii="Calibri" w:hAnsi="Calibri" w:cs="Tahoma"/>
          <w:sz w:val="20"/>
          <w:szCs w:val="20"/>
        </w:rPr>
      </w:pPr>
      <w:r w:rsidRPr="003D4E1A">
        <w:rPr>
          <w:rFonts w:ascii="Calibri" w:hAnsi="Calibri" w:cs="Tahoma"/>
          <w:sz w:val="20"/>
          <w:szCs w:val="20"/>
        </w:rPr>
        <w:t>Elle englobe les études d’exécution, le dossier de recollement et l’installation et repliement du chantier.</w:t>
      </w:r>
    </w:p>
    <w:p w:rsidR="001D5121" w:rsidRPr="00485A8F" w:rsidRDefault="001D5121" w:rsidP="00485A8F">
      <w:pPr>
        <w:numPr>
          <w:ilvl w:val="0"/>
          <w:numId w:val="23"/>
        </w:numPr>
        <w:tabs>
          <w:tab w:val="clear" w:pos="1440"/>
          <w:tab w:val="left" w:pos="-720"/>
          <w:tab w:val="left" w:pos="360"/>
        </w:tabs>
        <w:suppressAutoHyphens/>
        <w:spacing w:line="264" w:lineRule="auto"/>
        <w:ind w:left="360" w:right="-7"/>
        <w:jc w:val="both"/>
        <w:rPr>
          <w:rFonts w:ascii="Calibri" w:hAnsi="Calibri" w:cs="Tahoma"/>
          <w:b/>
          <w:bCs/>
          <w:sz w:val="20"/>
          <w:szCs w:val="20"/>
        </w:rPr>
      </w:pPr>
      <w:r w:rsidRPr="00485A8F">
        <w:rPr>
          <w:rFonts w:ascii="Calibri" w:hAnsi="Calibri" w:cs="Tahoma"/>
          <w:b/>
          <w:bCs/>
          <w:sz w:val="20"/>
          <w:szCs w:val="20"/>
        </w:rPr>
        <w:t>PARTIE B : APPEL D’OFFRES,  pour la réalisation des ouvrages suivants :</w:t>
      </w:r>
    </w:p>
    <w:p w:rsidR="001D5121" w:rsidRPr="00485A8F" w:rsidRDefault="001D5121" w:rsidP="00485A8F">
      <w:pPr>
        <w:numPr>
          <w:ilvl w:val="0"/>
          <w:numId w:val="22"/>
        </w:numPr>
        <w:tabs>
          <w:tab w:val="clear" w:pos="720"/>
          <w:tab w:val="num" w:pos="540"/>
        </w:tabs>
        <w:ind w:left="538" w:hanging="181"/>
        <w:jc w:val="both"/>
        <w:rPr>
          <w:rFonts w:ascii="Calibri" w:hAnsi="Calibri" w:cs="Tahoma"/>
          <w:sz w:val="20"/>
          <w:szCs w:val="20"/>
        </w:rPr>
      </w:pPr>
      <w:r w:rsidRPr="00485A8F">
        <w:rPr>
          <w:rFonts w:ascii="Calibri" w:hAnsi="Calibri" w:cs="Tahoma"/>
          <w:sz w:val="20"/>
          <w:szCs w:val="20"/>
        </w:rPr>
        <w:t>Génie Civil du bâtiment de chloration ;</w:t>
      </w:r>
    </w:p>
    <w:p w:rsidR="001D5121" w:rsidRPr="00485A8F" w:rsidRDefault="001D5121" w:rsidP="00485A8F">
      <w:pPr>
        <w:numPr>
          <w:ilvl w:val="0"/>
          <w:numId w:val="22"/>
        </w:numPr>
        <w:tabs>
          <w:tab w:val="clear" w:pos="720"/>
          <w:tab w:val="num" w:pos="540"/>
        </w:tabs>
        <w:ind w:left="538" w:hanging="181"/>
        <w:jc w:val="both"/>
        <w:rPr>
          <w:rFonts w:ascii="Calibri" w:hAnsi="Calibri" w:cs="Tahoma"/>
          <w:sz w:val="20"/>
          <w:szCs w:val="20"/>
        </w:rPr>
      </w:pPr>
      <w:r w:rsidRPr="00485A8F">
        <w:rPr>
          <w:rFonts w:ascii="Calibri" w:hAnsi="Calibri" w:cs="Tahoma"/>
          <w:sz w:val="20"/>
          <w:szCs w:val="20"/>
        </w:rPr>
        <w:t xml:space="preserve">Génie civil du bâtiment d’exploitation ; </w:t>
      </w:r>
    </w:p>
    <w:p w:rsidR="001D5121" w:rsidRPr="00485A8F" w:rsidRDefault="001D5121" w:rsidP="00485A8F">
      <w:pPr>
        <w:numPr>
          <w:ilvl w:val="0"/>
          <w:numId w:val="22"/>
        </w:numPr>
        <w:tabs>
          <w:tab w:val="clear" w:pos="720"/>
          <w:tab w:val="num" w:pos="540"/>
        </w:tabs>
        <w:ind w:left="538" w:hanging="181"/>
        <w:jc w:val="both"/>
        <w:rPr>
          <w:rFonts w:ascii="Calibri" w:hAnsi="Calibri" w:cs="Tahoma"/>
          <w:sz w:val="20"/>
          <w:szCs w:val="20"/>
        </w:rPr>
      </w:pPr>
      <w:r w:rsidRPr="00485A8F">
        <w:rPr>
          <w:rFonts w:ascii="Calibri" w:hAnsi="Calibri" w:cs="Tahoma"/>
          <w:sz w:val="20"/>
          <w:szCs w:val="20"/>
        </w:rPr>
        <w:t>Génie Civil du poste de transformation ;</w:t>
      </w:r>
    </w:p>
    <w:p w:rsidR="001D5121" w:rsidRPr="00485A8F" w:rsidRDefault="001D5121" w:rsidP="00485A8F">
      <w:pPr>
        <w:numPr>
          <w:ilvl w:val="0"/>
          <w:numId w:val="22"/>
        </w:numPr>
        <w:tabs>
          <w:tab w:val="clear" w:pos="720"/>
          <w:tab w:val="num" w:pos="540"/>
        </w:tabs>
        <w:ind w:left="538" w:hanging="181"/>
        <w:jc w:val="both"/>
        <w:rPr>
          <w:rFonts w:ascii="Calibri" w:hAnsi="Calibri" w:cs="Tahoma"/>
          <w:sz w:val="20"/>
          <w:szCs w:val="20"/>
        </w:rPr>
      </w:pPr>
      <w:r w:rsidRPr="00485A8F">
        <w:rPr>
          <w:rFonts w:ascii="Calibri" w:hAnsi="Calibri" w:cs="Tahoma"/>
          <w:sz w:val="20"/>
          <w:szCs w:val="20"/>
        </w:rPr>
        <w:t>Génie Civil et Equipement du réservoir 2500 m3 ;</w:t>
      </w:r>
    </w:p>
    <w:p w:rsidR="001D5121" w:rsidRPr="00485A8F" w:rsidRDefault="001D5121" w:rsidP="00485A8F">
      <w:pPr>
        <w:numPr>
          <w:ilvl w:val="0"/>
          <w:numId w:val="22"/>
        </w:numPr>
        <w:tabs>
          <w:tab w:val="clear" w:pos="720"/>
          <w:tab w:val="num" w:pos="540"/>
        </w:tabs>
        <w:ind w:left="538" w:hanging="181"/>
        <w:jc w:val="both"/>
        <w:rPr>
          <w:rFonts w:ascii="Calibri" w:hAnsi="Calibri" w:cs="Tahoma"/>
          <w:sz w:val="20"/>
          <w:szCs w:val="20"/>
        </w:rPr>
      </w:pPr>
      <w:r w:rsidRPr="00485A8F">
        <w:rPr>
          <w:rFonts w:ascii="Calibri" w:hAnsi="Calibri" w:cs="Tahoma"/>
          <w:sz w:val="20"/>
          <w:szCs w:val="20"/>
        </w:rPr>
        <w:t>Magazin-Atelier ;</w:t>
      </w:r>
    </w:p>
    <w:p w:rsidR="001D5121" w:rsidRPr="00485A8F" w:rsidRDefault="001D5121" w:rsidP="00485A8F">
      <w:pPr>
        <w:numPr>
          <w:ilvl w:val="0"/>
          <w:numId w:val="22"/>
        </w:numPr>
        <w:tabs>
          <w:tab w:val="clear" w:pos="720"/>
          <w:tab w:val="num" w:pos="540"/>
        </w:tabs>
        <w:ind w:left="538" w:hanging="181"/>
        <w:jc w:val="both"/>
        <w:rPr>
          <w:rFonts w:ascii="Calibri" w:hAnsi="Calibri" w:cs="Tahoma"/>
          <w:sz w:val="20"/>
          <w:szCs w:val="20"/>
        </w:rPr>
      </w:pPr>
      <w:r w:rsidRPr="00485A8F">
        <w:rPr>
          <w:rFonts w:ascii="Calibri" w:hAnsi="Calibri" w:cs="Tahoma"/>
          <w:sz w:val="20"/>
          <w:szCs w:val="20"/>
        </w:rPr>
        <w:t>Loge gardien ;</w:t>
      </w:r>
    </w:p>
    <w:p w:rsidR="001D5121" w:rsidRPr="00485A8F" w:rsidRDefault="001D5121" w:rsidP="00485A8F">
      <w:pPr>
        <w:numPr>
          <w:ilvl w:val="0"/>
          <w:numId w:val="22"/>
        </w:numPr>
        <w:tabs>
          <w:tab w:val="clear" w:pos="720"/>
          <w:tab w:val="num" w:pos="540"/>
        </w:tabs>
        <w:ind w:left="538" w:hanging="181"/>
        <w:jc w:val="both"/>
        <w:rPr>
          <w:rFonts w:ascii="Calibri" w:hAnsi="Calibri" w:cs="Tahoma"/>
          <w:sz w:val="20"/>
          <w:szCs w:val="20"/>
        </w:rPr>
      </w:pPr>
      <w:r w:rsidRPr="00485A8F">
        <w:rPr>
          <w:rFonts w:ascii="Calibri" w:hAnsi="Calibri" w:cs="Tahoma"/>
          <w:sz w:val="20"/>
          <w:szCs w:val="20"/>
        </w:rPr>
        <w:t>Aménagement extérieur et VRD.</w:t>
      </w:r>
    </w:p>
    <w:p w:rsidR="001D5121" w:rsidRPr="00485A8F" w:rsidRDefault="001D5121" w:rsidP="00485A8F">
      <w:pPr>
        <w:numPr>
          <w:ilvl w:val="0"/>
          <w:numId w:val="23"/>
        </w:numPr>
        <w:tabs>
          <w:tab w:val="clear" w:pos="1440"/>
          <w:tab w:val="left" w:pos="-720"/>
          <w:tab w:val="left" w:pos="360"/>
        </w:tabs>
        <w:suppressAutoHyphens/>
        <w:spacing w:line="264" w:lineRule="auto"/>
        <w:ind w:left="360" w:right="-7"/>
        <w:jc w:val="both"/>
        <w:rPr>
          <w:rFonts w:ascii="Calibri" w:hAnsi="Calibri" w:cs="Tahoma"/>
          <w:b/>
          <w:bCs/>
          <w:sz w:val="20"/>
          <w:szCs w:val="20"/>
        </w:rPr>
      </w:pPr>
      <w:r w:rsidRPr="00485A8F">
        <w:rPr>
          <w:rFonts w:ascii="Calibri" w:hAnsi="Calibri" w:cs="Tahoma"/>
          <w:b/>
          <w:bCs/>
          <w:sz w:val="20"/>
          <w:szCs w:val="20"/>
        </w:rPr>
        <w:t>PARTIE C : APPEL D’OFFRES POUR MARCHÉS DE CONCEPTION- RÉALISATION, pour la réalisation des ouvrages suivants :</w:t>
      </w:r>
    </w:p>
    <w:p w:rsidR="001D5121" w:rsidRPr="00485A8F" w:rsidRDefault="001D5121" w:rsidP="00485A8F">
      <w:pPr>
        <w:numPr>
          <w:ilvl w:val="0"/>
          <w:numId w:val="22"/>
        </w:numPr>
        <w:tabs>
          <w:tab w:val="clear" w:pos="720"/>
          <w:tab w:val="num" w:pos="540"/>
        </w:tabs>
        <w:ind w:left="538" w:hanging="181"/>
        <w:jc w:val="both"/>
        <w:rPr>
          <w:rFonts w:ascii="Calibri" w:hAnsi="Calibri" w:cs="Tahoma"/>
          <w:sz w:val="20"/>
          <w:szCs w:val="20"/>
        </w:rPr>
      </w:pPr>
      <w:r w:rsidRPr="00485A8F">
        <w:rPr>
          <w:rFonts w:ascii="Calibri" w:hAnsi="Calibri" w:cs="Tahoma"/>
          <w:sz w:val="20"/>
          <w:szCs w:val="20"/>
        </w:rPr>
        <w:t>Une station ST conçue pour produire un débit d’eau potable de 300 l/s à partir d’une eau brute présentant une charge en MES pouvant atteindre 2 g/l (MES ≤ 2 g/l) et de 150 l/s à partir d’une eau brute présentant une charge en MES pouvant atteindre 10 g/l (MES ≤ 10 g/l).</w:t>
      </w:r>
    </w:p>
    <w:p w:rsidR="001D5121" w:rsidRPr="00485A8F" w:rsidRDefault="001D5121" w:rsidP="00485A8F">
      <w:pPr>
        <w:numPr>
          <w:ilvl w:val="0"/>
          <w:numId w:val="22"/>
        </w:numPr>
        <w:tabs>
          <w:tab w:val="clear" w:pos="720"/>
          <w:tab w:val="num" w:pos="540"/>
        </w:tabs>
        <w:ind w:left="538" w:hanging="181"/>
        <w:jc w:val="both"/>
        <w:rPr>
          <w:rFonts w:ascii="Calibri" w:hAnsi="Calibri" w:cs="Tahoma"/>
          <w:sz w:val="20"/>
          <w:szCs w:val="20"/>
        </w:rPr>
      </w:pPr>
      <w:r w:rsidRPr="00485A8F">
        <w:rPr>
          <w:rFonts w:ascii="Calibri" w:hAnsi="Calibri" w:cs="Tahoma"/>
          <w:sz w:val="20"/>
          <w:szCs w:val="20"/>
        </w:rPr>
        <w:t>Génie Civil et Equipement du bâtiment de réactifs ;</w:t>
      </w:r>
    </w:p>
    <w:p w:rsidR="001D5121" w:rsidRPr="00485A8F" w:rsidRDefault="001D5121" w:rsidP="00485A8F">
      <w:pPr>
        <w:numPr>
          <w:ilvl w:val="0"/>
          <w:numId w:val="22"/>
        </w:numPr>
        <w:tabs>
          <w:tab w:val="clear" w:pos="720"/>
          <w:tab w:val="num" w:pos="540"/>
        </w:tabs>
        <w:ind w:left="538" w:hanging="181"/>
        <w:jc w:val="both"/>
        <w:rPr>
          <w:rFonts w:ascii="Calibri" w:hAnsi="Calibri" w:cs="Tahoma"/>
          <w:sz w:val="20"/>
          <w:szCs w:val="20"/>
        </w:rPr>
      </w:pPr>
      <w:r w:rsidRPr="00485A8F">
        <w:rPr>
          <w:rFonts w:ascii="Calibri" w:hAnsi="Calibri" w:cs="Tahoma"/>
          <w:sz w:val="20"/>
          <w:szCs w:val="20"/>
        </w:rPr>
        <w:t>Equipement du bâtiment de chloration ;</w:t>
      </w:r>
    </w:p>
    <w:p w:rsidR="001D5121" w:rsidRPr="00485A8F" w:rsidRDefault="001D5121" w:rsidP="00485A8F">
      <w:pPr>
        <w:numPr>
          <w:ilvl w:val="0"/>
          <w:numId w:val="22"/>
        </w:numPr>
        <w:tabs>
          <w:tab w:val="clear" w:pos="720"/>
          <w:tab w:val="num" w:pos="540"/>
        </w:tabs>
        <w:ind w:left="538" w:hanging="181"/>
        <w:jc w:val="both"/>
        <w:rPr>
          <w:rFonts w:ascii="Calibri" w:hAnsi="Calibri" w:cs="Tahoma"/>
          <w:sz w:val="20"/>
          <w:szCs w:val="20"/>
        </w:rPr>
      </w:pPr>
      <w:r w:rsidRPr="00485A8F">
        <w:rPr>
          <w:rFonts w:ascii="Calibri" w:hAnsi="Calibri" w:cs="Tahoma"/>
          <w:sz w:val="20"/>
          <w:szCs w:val="20"/>
        </w:rPr>
        <w:t>Equipement du bâtiment d’exploitation ;</w:t>
      </w:r>
    </w:p>
    <w:p w:rsidR="001D5121" w:rsidRPr="00485A8F" w:rsidRDefault="001D5121" w:rsidP="00485A8F">
      <w:pPr>
        <w:numPr>
          <w:ilvl w:val="0"/>
          <w:numId w:val="22"/>
        </w:numPr>
        <w:tabs>
          <w:tab w:val="clear" w:pos="720"/>
          <w:tab w:val="num" w:pos="540"/>
        </w:tabs>
        <w:ind w:left="538" w:hanging="181"/>
        <w:jc w:val="both"/>
        <w:rPr>
          <w:rFonts w:ascii="Calibri" w:hAnsi="Calibri" w:cs="Tahoma"/>
          <w:sz w:val="20"/>
          <w:szCs w:val="20"/>
        </w:rPr>
      </w:pPr>
      <w:r w:rsidRPr="00485A8F">
        <w:rPr>
          <w:rFonts w:ascii="Calibri" w:hAnsi="Calibri" w:cs="Tahoma"/>
          <w:sz w:val="20"/>
          <w:szCs w:val="20"/>
        </w:rPr>
        <w:t>Equipement du poste de transformation ;</w:t>
      </w:r>
    </w:p>
    <w:p w:rsidR="001D5121" w:rsidRPr="00485A8F" w:rsidRDefault="001D5121" w:rsidP="00485A8F">
      <w:pPr>
        <w:numPr>
          <w:ilvl w:val="0"/>
          <w:numId w:val="22"/>
        </w:numPr>
        <w:tabs>
          <w:tab w:val="clear" w:pos="720"/>
          <w:tab w:val="num" w:pos="540"/>
        </w:tabs>
        <w:ind w:left="538" w:hanging="181"/>
        <w:jc w:val="both"/>
        <w:rPr>
          <w:rFonts w:ascii="Calibri" w:hAnsi="Calibri" w:cs="Tahoma"/>
          <w:sz w:val="20"/>
          <w:szCs w:val="20"/>
        </w:rPr>
      </w:pPr>
      <w:r w:rsidRPr="00485A8F">
        <w:rPr>
          <w:rFonts w:ascii="Calibri" w:hAnsi="Calibri" w:cs="Tahoma"/>
          <w:sz w:val="20"/>
          <w:szCs w:val="20"/>
        </w:rPr>
        <w:t>Installations de récupération et de traitement des eaux de lavage des filtres ;</w:t>
      </w:r>
    </w:p>
    <w:p w:rsidR="001D5121" w:rsidRPr="00485A8F" w:rsidRDefault="001D5121" w:rsidP="00485A8F">
      <w:pPr>
        <w:numPr>
          <w:ilvl w:val="0"/>
          <w:numId w:val="22"/>
        </w:numPr>
        <w:tabs>
          <w:tab w:val="clear" w:pos="720"/>
          <w:tab w:val="num" w:pos="540"/>
        </w:tabs>
        <w:ind w:left="538" w:hanging="181"/>
        <w:jc w:val="both"/>
        <w:rPr>
          <w:rFonts w:ascii="Calibri" w:hAnsi="Calibri" w:cs="Tahoma"/>
          <w:sz w:val="20"/>
          <w:szCs w:val="20"/>
        </w:rPr>
      </w:pPr>
      <w:r w:rsidRPr="00485A8F">
        <w:rPr>
          <w:rFonts w:ascii="Calibri" w:hAnsi="Calibri" w:cs="Tahoma"/>
          <w:sz w:val="20"/>
          <w:szCs w:val="20"/>
        </w:rPr>
        <w:t>Installations de collecte des boues, émanant de la clarification des eaux brutes.</w:t>
      </w:r>
    </w:p>
    <w:p w:rsidR="001D5121" w:rsidRPr="00485A8F" w:rsidRDefault="001D5121" w:rsidP="00485A8F">
      <w:pPr>
        <w:numPr>
          <w:ilvl w:val="0"/>
          <w:numId w:val="22"/>
        </w:numPr>
        <w:tabs>
          <w:tab w:val="clear" w:pos="720"/>
          <w:tab w:val="num" w:pos="540"/>
        </w:tabs>
        <w:ind w:left="538" w:hanging="181"/>
        <w:jc w:val="both"/>
        <w:rPr>
          <w:rFonts w:ascii="Calibri" w:hAnsi="Calibri" w:cs="Tahoma"/>
          <w:sz w:val="20"/>
          <w:szCs w:val="20"/>
        </w:rPr>
      </w:pPr>
      <w:r w:rsidRPr="00485A8F">
        <w:rPr>
          <w:rFonts w:ascii="Calibri" w:hAnsi="Calibri" w:cs="Tahoma"/>
          <w:sz w:val="20"/>
          <w:szCs w:val="20"/>
        </w:rPr>
        <w:t>Equipement électrique BT et de supervision de la ST;</w:t>
      </w:r>
    </w:p>
    <w:p w:rsidR="001D5121" w:rsidRPr="00485A8F" w:rsidRDefault="001D5121" w:rsidP="00485A8F">
      <w:pPr>
        <w:numPr>
          <w:ilvl w:val="0"/>
          <w:numId w:val="22"/>
        </w:numPr>
        <w:tabs>
          <w:tab w:val="clear" w:pos="720"/>
          <w:tab w:val="num" w:pos="540"/>
        </w:tabs>
        <w:ind w:left="538" w:hanging="181"/>
        <w:jc w:val="both"/>
        <w:rPr>
          <w:rFonts w:ascii="Calibri" w:hAnsi="Calibri" w:cs="Tahoma"/>
          <w:sz w:val="20"/>
          <w:szCs w:val="20"/>
        </w:rPr>
      </w:pPr>
      <w:r w:rsidRPr="00485A8F">
        <w:rPr>
          <w:rFonts w:ascii="Calibri" w:hAnsi="Calibri" w:cs="Tahoma"/>
          <w:sz w:val="20"/>
          <w:szCs w:val="20"/>
        </w:rPr>
        <w:t>Conduite d’évacuation des rejets de la ST.</w:t>
      </w:r>
    </w:p>
    <w:p w:rsidR="001D5121" w:rsidRPr="003D4E1A" w:rsidRDefault="001D5121" w:rsidP="005D2810">
      <w:pPr>
        <w:keepNext/>
        <w:spacing w:after="240"/>
        <w:jc w:val="both"/>
        <w:rPr>
          <w:rFonts w:ascii="Calibri" w:hAnsi="Calibri" w:cs="Calibri"/>
          <w:sz w:val="22"/>
          <w:szCs w:val="20"/>
        </w:rPr>
      </w:pPr>
      <w:r w:rsidRPr="003D4E1A">
        <w:rPr>
          <w:rFonts w:ascii="Calibri" w:hAnsi="Calibri" w:cs="Arial"/>
          <w:sz w:val="22"/>
          <w:szCs w:val="20"/>
        </w:rPr>
        <w:t>La description des prestations du marché est indiquée dans le cahier des clauses techniques (ainsi que les documents qui lui sont annexés)</w:t>
      </w:r>
      <w:r w:rsidRPr="003D4E1A">
        <w:rPr>
          <w:rFonts w:ascii="Calibri" w:hAnsi="Calibri" w:cs="Calibri"/>
          <w:sz w:val="22"/>
          <w:szCs w:val="20"/>
        </w:rPr>
        <w:t xml:space="preserve">. </w:t>
      </w:r>
    </w:p>
    <w:p w:rsidR="001D5121" w:rsidRPr="003D4E1A" w:rsidRDefault="001D5121" w:rsidP="00590EA9">
      <w:pPr>
        <w:pStyle w:val="Heading2"/>
      </w:pPr>
      <w:bookmarkStart w:id="6" w:name="_Toc379367162"/>
      <w:r w:rsidRPr="003D4E1A">
        <w:rPr>
          <w:szCs w:val="20"/>
        </w:rPr>
        <w:t>Article 4.</w:t>
      </w:r>
      <w:bookmarkStart w:id="7" w:name="_Toc358977832"/>
      <w:r w:rsidRPr="003D4E1A">
        <w:tab/>
        <w:t>Pièces constitutives du marché</w:t>
      </w:r>
      <w:bookmarkEnd w:id="7"/>
      <w:bookmarkEnd w:id="6"/>
    </w:p>
    <w:p w:rsidR="001D5121" w:rsidRPr="003D4E1A" w:rsidRDefault="001D5121" w:rsidP="00D6621C">
      <w:pPr>
        <w:spacing w:before="120"/>
        <w:rPr>
          <w:rFonts w:ascii="Calibri" w:hAnsi="Calibri" w:cs="Arial"/>
          <w:sz w:val="22"/>
          <w:szCs w:val="22"/>
        </w:rPr>
      </w:pPr>
      <w:r w:rsidRPr="003D4E1A">
        <w:rPr>
          <w:rFonts w:ascii="Calibri" w:hAnsi="Calibri" w:cs="Arial"/>
          <w:sz w:val="22"/>
          <w:szCs w:val="22"/>
        </w:rPr>
        <w:t>En sus des pièces contractuelles indiquées au CCAFG, les pièces suivantes sont constitutives du marché :</w:t>
      </w:r>
    </w:p>
    <w:p w:rsidR="001D5121" w:rsidRPr="003D4E1A" w:rsidRDefault="001D5121" w:rsidP="00E05DC8">
      <w:pPr>
        <w:tabs>
          <w:tab w:val="left" w:pos="-720"/>
        </w:tabs>
        <w:suppressAutoHyphens/>
        <w:spacing w:before="120"/>
        <w:ind w:left="360" w:right="198"/>
        <w:jc w:val="both"/>
        <w:rPr>
          <w:rFonts w:ascii="Calibri" w:hAnsi="Calibri" w:cs="Arial"/>
          <w:spacing w:val="-2"/>
          <w:sz w:val="20"/>
          <w:szCs w:val="20"/>
        </w:rPr>
      </w:pPr>
      <w:r w:rsidRPr="003D4E1A">
        <w:rPr>
          <w:rFonts w:ascii="Calibri" w:hAnsi="Calibri" w:cs="Arial"/>
          <w:spacing w:val="-2"/>
          <w:sz w:val="20"/>
          <w:szCs w:val="20"/>
        </w:rPr>
        <w:t>1bis. L'engagement des parties contractantes ;</w:t>
      </w:r>
    </w:p>
    <w:p w:rsidR="001D5121" w:rsidRPr="003D4E1A" w:rsidRDefault="001D5121" w:rsidP="00485A8F">
      <w:pPr>
        <w:numPr>
          <w:ilvl w:val="0"/>
          <w:numId w:val="25"/>
        </w:numPr>
        <w:tabs>
          <w:tab w:val="left" w:pos="-720"/>
        </w:tabs>
        <w:suppressAutoHyphens/>
        <w:spacing w:before="120"/>
        <w:ind w:left="714" w:right="198" w:hanging="357"/>
        <w:jc w:val="both"/>
        <w:rPr>
          <w:rFonts w:ascii="Calibri" w:hAnsi="Calibri" w:cs="Arial"/>
          <w:sz w:val="22"/>
          <w:szCs w:val="22"/>
        </w:rPr>
      </w:pPr>
      <w:r w:rsidRPr="003D4E1A">
        <w:rPr>
          <w:rFonts w:ascii="Calibri" w:hAnsi="Calibri" w:cs="Arial"/>
          <w:sz w:val="22"/>
          <w:szCs w:val="20"/>
        </w:rPr>
        <w:t>Les Cahiers des Clauses Techniques Générales (CCTG) à savoir :</w:t>
      </w:r>
    </w:p>
    <w:p w:rsidR="001D5121" w:rsidRDefault="001D5121" w:rsidP="009B3E37">
      <w:pPr>
        <w:numPr>
          <w:ilvl w:val="1"/>
          <w:numId w:val="25"/>
        </w:numPr>
        <w:spacing w:before="120"/>
        <w:jc w:val="both"/>
        <w:rPr>
          <w:rFonts w:ascii="Calibri" w:hAnsi="Calibri" w:cs="Arial"/>
          <w:spacing w:val="-3"/>
          <w:sz w:val="20"/>
          <w:szCs w:val="20"/>
        </w:rPr>
      </w:pPr>
      <w:r w:rsidRPr="003D4E1A">
        <w:rPr>
          <w:rFonts w:ascii="Calibri" w:hAnsi="Calibri" w:cs="Arial"/>
          <w:spacing w:val="-3"/>
          <w:sz w:val="20"/>
          <w:szCs w:val="20"/>
        </w:rPr>
        <w:t xml:space="preserve">Le Cahier des clauses techniques générales relatives aux marchés de travaux d’eau potable, </w:t>
      </w:r>
      <w:hyperlink r:id="rId7" w:history="1">
        <w:r w:rsidRPr="003D4E1A">
          <w:rPr>
            <w:rFonts w:ascii="Calibri" w:hAnsi="Calibri" w:cs="Arial"/>
            <w:spacing w:val="-3"/>
            <w:sz w:val="20"/>
            <w:szCs w:val="20"/>
          </w:rPr>
          <w:t>Tome 1 - Equipements ONEE - Branche Eau (Version 1 - Octobre 2012)</w:t>
        </w:r>
      </w:hyperlink>
      <w:r w:rsidRPr="003D4E1A">
        <w:rPr>
          <w:rFonts w:ascii="Calibri" w:hAnsi="Calibri" w:cs="Arial"/>
          <w:spacing w:val="-3"/>
          <w:sz w:val="20"/>
          <w:szCs w:val="20"/>
        </w:rPr>
        <w:t xml:space="preserve"> ; </w:t>
      </w:r>
    </w:p>
    <w:p w:rsidR="001D5121" w:rsidRPr="003D4E1A" w:rsidRDefault="001D5121" w:rsidP="00A66A36">
      <w:pPr>
        <w:numPr>
          <w:ilvl w:val="1"/>
          <w:numId w:val="25"/>
        </w:numPr>
        <w:spacing w:before="120"/>
        <w:jc w:val="both"/>
        <w:rPr>
          <w:rFonts w:ascii="Calibri" w:hAnsi="Calibri" w:cs="Arial"/>
          <w:spacing w:val="-3"/>
          <w:sz w:val="20"/>
          <w:szCs w:val="20"/>
        </w:rPr>
      </w:pPr>
      <w:r w:rsidRPr="003D4E1A">
        <w:rPr>
          <w:rFonts w:ascii="Calibri" w:hAnsi="Calibri" w:cs="Arial"/>
          <w:spacing w:val="-3"/>
          <w:sz w:val="20"/>
          <w:szCs w:val="20"/>
        </w:rPr>
        <w:t>Le Cahier des Clauses Techniques Générales relatives aux marchés de travaux d’eau potable,</w:t>
      </w:r>
      <w:r w:rsidRPr="003D4E1A">
        <w:rPr>
          <w:rFonts w:ascii="Calibri" w:hAnsi="Calibri"/>
        </w:rPr>
        <w:t xml:space="preserve"> </w:t>
      </w:r>
      <w:r w:rsidRPr="003D4E1A">
        <w:rPr>
          <w:rFonts w:ascii="Calibri" w:hAnsi="Calibri" w:cs="Arial"/>
          <w:spacing w:val="-3"/>
          <w:sz w:val="20"/>
          <w:szCs w:val="20"/>
        </w:rPr>
        <w:t>Tome 2 - Comptage mécanique et débitmètre électromagnétique</w:t>
      </w:r>
      <w:r w:rsidRPr="003D4E1A">
        <w:rPr>
          <w:rFonts w:ascii="Calibri" w:hAnsi="Calibri"/>
        </w:rPr>
        <w:t xml:space="preserve"> </w:t>
      </w:r>
      <w:r w:rsidRPr="003D4E1A">
        <w:rPr>
          <w:rFonts w:ascii="Calibri" w:hAnsi="Calibri" w:cs="Arial"/>
          <w:spacing w:val="-3"/>
          <w:sz w:val="20"/>
          <w:szCs w:val="20"/>
        </w:rPr>
        <w:t>ONEE - Branche Eau (Version 1 - Octobre 2012)</w:t>
      </w:r>
    </w:p>
    <w:p w:rsidR="001D5121" w:rsidRDefault="001D5121" w:rsidP="00A66A36">
      <w:pPr>
        <w:numPr>
          <w:ilvl w:val="1"/>
          <w:numId w:val="25"/>
        </w:numPr>
        <w:tabs>
          <w:tab w:val="left" w:pos="-720"/>
        </w:tabs>
        <w:suppressAutoHyphens/>
        <w:spacing w:before="120"/>
        <w:ind w:right="198"/>
        <w:jc w:val="both"/>
        <w:rPr>
          <w:rFonts w:ascii="Calibri" w:hAnsi="Calibri" w:cs="Arial"/>
          <w:spacing w:val="-3"/>
          <w:sz w:val="20"/>
          <w:szCs w:val="20"/>
        </w:rPr>
      </w:pPr>
      <w:r w:rsidRPr="003D4E1A">
        <w:rPr>
          <w:rFonts w:ascii="Calibri" w:hAnsi="Calibri" w:cs="Arial"/>
          <w:spacing w:val="-3"/>
          <w:sz w:val="20"/>
          <w:szCs w:val="20"/>
        </w:rPr>
        <w:t>Le Cahier des Clauses Techniques Générales relatives aux marchés de travaux d’eau potable, Tome 3: Génie Civil– Version 1 (Octobre 2012)].</w:t>
      </w:r>
    </w:p>
    <w:p w:rsidR="001D5121" w:rsidRDefault="001D5121" w:rsidP="00A66A36">
      <w:pPr>
        <w:numPr>
          <w:ilvl w:val="1"/>
          <w:numId w:val="25"/>
        </w:numPr>
        <w:spacing w:before="120"/>
        <w:jc w:val="both"/>
        <w:rPr>
          <w:rFonts w:ascii="Calibri" w:hAnsi="Calibri" w:cs="Arial"/>
          <w:spacing w:val="-3"/>
          <w:sz w:val="20"/>
          <w:szCs w:val="20"/>
        </w:rPr>
      </w:pPr>
      <w:r w:rsidRPr="003D4E1A">
        <w:rPr>
          <w:rFonts w:ascii="Calibri" w:hAnsi="Calibri" w:cs="Arial"/>
          <w:spacing w:val="-3"/>
          <w:sz w:val="20"/>
          <w:szCs w:val="20"/>
        </w:rPr>
        <w:t>Le Cahier des Clauses Techniques Générales relatives aux marchés de travaux d’eau potable, Tome</w:t>
      </w:r>
      <w:r>
        <w:rPr>
          <w:rFonts w:ascii="Calibri" w:hAnsi="Calibri" w:cs="Arial"/>
          <w:spacing w:val="-3"/>
          <w:sz w:val="20"/>
          <w:szCs w:val="20"/>
        </w:rPr>
        <w:t xml:space="preserve"> 4</w:t>
      </w:r>
      <w:r w:rsidRPr="003D4E1A">
        <w:rPr>
          <w:rFonts w:ascii="Calibri" w:hAnsi="Calibri" w:cs="Arial"/>
          <w:spacing w:val="-3"/>
          <w:sz w:val="20"/>
          <w:szCs w:val="20"/>
        </w:rPr>
        <w:t>: Télégestion– Version 1 (Octobre 2012)].</w:t>
      </w:r>
    </w:p>
    <w:p w:rsidR="001D5121" w:rsidRPr="003D4E1A" w:rsidRDefault="001D5121" w:rsidP="00A66A36">
      <w:pPr>
        <w:numPr>
          <w:ilvl w:val="1"/>
          <w:numId w:val="25"/>
        </w:numPr>
        <w:spacing w:before="120"/>
        <w:jc w:val="both"/>
        <w:rPr>
          <w:rFonts w:ascii="Calibri" w:hAnsi="Calibri" w:cs="Arial"/>
          <w:spacing w:val="-3"/>
          <w:sz w:val="20"/>
          <w:szCs w:val="20"/>
        </w:rPr>
      </w:pPr>
      <w:r w:rsidRPr="003D4E1A">
        <w:rPr>
          <w:rFonts w:ascii="Calibri" w:hAnsi="Calibri" w:cs="Arial"/>
          <w:spacing w:val="-3"/>
          <w:sz w:val="20"/>
          <w:szCs w:val="20"/>
        </w:rPr>
        <w:t>Le Cahier des Clauses Techniques Générales relatives aux marchés de travaux d’eau potable - Tome 5 - Système de chloration ONEE - Branche Eau (Version 1 - Octobre 2012)</w:t>
      </w:r>
    </w:p>
    <w:p w:rsidR="001D5121" w:rsidRPr="003D4E1A" w:rsidRDefault="001D5121" w:rsidP="00A66A36">
      <w:pPr>
        <w:numPr>
          <w:ilvl w:val="1"/>
          <w:numId w:val="25"/>
        </w:numPr>
        <w:spacing w:before="120"/>
        <w:jc w:val="both"/>
        <w:rPr>
          <w:rFonts w:ascii="Calibri" w:hAnsi="Calibri" w:cs="Arial"/>
          <w:spacing w:val="-3"/>
          <w:sz w:val="20"/>
          <w:szCs w:val="20"/>
        </w:rPr>
      </w:pPr>
      <w:r w:rsidRPr="003D4E1A">
        <w:rPr>
          <w:rFonts w:ascii="Calibri" w:hAnsi="Calibri" w:cs="Arial"/>
          <w:spacing w:val="-3"/>
          <w:sz w:val="20"/>
          <w:szCs w:val="20"/>
        </w:rPr>
        <w:t>Le Cahier des Clauses Techniques Générales relatives aux marchés de travaux d’eau potable, Tome</w:t>
      </w:r>
      <w:r>
        <w:rPr>
          <w:rFonts w:ascii="Calibri" w:hAnsi="Calibri" w:cs="Arial"/>
          <w:spacing w:val="-3"/>
          <w:sz w:val="20"/>
          <w:szCs w:val="20"/>
        </w:rPr>
        <w:t xml:space="preserve"> 6</w:t>
      </w:r>
      <w:r w:rsidRPr="003D4E1A">
        <w:rPr>
          <w:rFonts w:ascii="Calibri" w:hAnsi="Calibri" w:cs="Arial"/>
          <w:spacing w:val="-3"/>
          <w:sz w:val="20"/>
          <w:szCs w:val="20"/>
        </w:rPr>
        <w:t>: T</w:t>
      </w:r>
      <w:r>
        <w:rPr>
          <w:rFonts w:ascii="Calibri" w:hAnsi="Calibri" w:cs="Arial"/>
          <w:spacing w:val="-3"/>
          <w:sz w:val="20"/>
          <w:szCs w:val="20"/>
        </w:rPr>
        <w:t>raitement</w:t>
      </w:r>
      <w:r w:rsidRPr="003D4E1A">
        <w:rPr>
          <w:rFonts w:ascii="Calibri" w:hAnsi="Calibri" w:cs="Arial"/>
          <w:spacing w:val="-3"/>
          <w:sz w:val="20"/>
          <w:szCs w:val="20"/>
        </w:rPr>
        <w:t>– Version 1 (Octobre 2012)].</w:t>
      </w:r>
    </w:p>
    <w:p w:rsidR="001D5121" w:rsidRPr="003D4E1A" w:rsidRDefault="001D5121" w:rsidP="00E05DC8">
      <w:pPr>
        <w:pStyle w:val="BodyTextIndent"/>
        <w:spacing w:before="120"/>
        <w:ind w:left="360"/>
        <w:jc w:val="both"/>
        <w:rPr>
          <w:rFonts w:ascii="Calibri" w:hAnsi="Calibri" w:cs="Arial"/>
          <w:noProof/>
          <w:sz w:val="22"/>
          <w:szCs w:val="22"/>
        </w:rPr>
      </w:pPr>
      <w:r w:rsidRPr="003D4E1A">
        <w:rPr>
          <w:rFonts w:ascii="Calibri" w:hAnsi="Calibri" w:cs="Arial"/>
          <w:noProof/>
          <w:sz w:val="22"/>
          <w:szCs w:val="22"/>
        </w:rPr>
        <w:t>Le</w:t>
      </w:r>
      <w:r>
        <w:rPr>
          <w:rFonts w:ascii="Calibri" w:hAnsi="Calibri" w:cs="Arial"/>
          <w:noProof/>
          <w:sz w:val="22"/>
          <w:szCs w:val="22"/>
        </w:rPr>
        <w:t>s</w:t>
      </w:r>
      <w:r w:rsidRPr="003D4E1A">
        <w:rPr>
          <w:rFonts w:ascii="Calibri" w:hAnsi="Calibri" w:cs="Arial"/>
          <w:noProof/>
          <w:sz w:val="22"/>
          <w:szCs w:val="22"/>
        </w:rPr>
        <w:t xml:space="preserve"> CCTG et le CPC sont téléchargeables sur le site web des achats de l'ONEE- BRANCHE EAU. </w:t>
      </w:r>
    </w:p>
    <w:p w:rsidR="001D5121" w:rsidRPr="003D4E1A" w:rsidRDefault="001D5121" w:rsidP="00E501FE">
      <w:pPr>
        <w:numPr>
          <w:ilvl w:val="0"/>
          <w:numId w:val="25"/>
        </w:numPr>
        <w:jc w:val="both"/>
        <w:rPr>
          <w:rFonts w:ascii="Calibri" w:hAnsi="Calibri" w:cs="Arial"/>
          <w:color w:val="FFFFFF"/>
          <w:sz w:val="22"/>
          <w:szCs w:val="22"/>
        </w:rPr>
      </w:pPr>
    </w:p>
    <w:p w:rsidR="001D5121" w:rsidRPr="003D4E1A" w:rsidRDefault="001D5121" w:rsidP="00E501FE">
      <w:pPr>
        <w:numPr>
          <w:ilvl w:val="0"/>
          <w:numId w:val="25"/>
        </w:numPr>
        <w:spacing w:after="120"/>
        <w:jc w:val="both"/>
        <w:rPr>
          <w:rFonts w:ascii="Calibri" w:hAnsi="Calibri" w:cs="Arial"/>
          <w:sz w:val="22"/>
          <w:szCs w:val="20"/>
        </w:rPr>
      </w:pPr>
      <w:r w:rsidRPr="003D4E1A">
        <w:rPr>
          <w:rFonts w:ascii="Calibri" w:hAnsi="Calibri" w:cs="Arial"/>
          <w:color w:val="FFFFFF"/>
          <w:sz w:val="22"/>
          <w:szCs w:val="20"/>
        </w:rPr>
        <w:t xml:space="preserve"> </w:t>
      </w:r>
      <w:r w:rsidRPr="003D4E1A">
        <w:rPr>
          <w:rFonts w:ascii="Calibri" w:hAnsi="Calibri" w:cs="Arial"/>
          <w:sz w:val="22"/>
          <w:szCs w:val="20"/>
        </w:rPr>
        <w:t xml:space="preserve">L’offre technique : </w:t>
      </w:r>
      <w:r w:rsidRPr="003D4E1A">
        <w:rPr>
          <w:rFonts w:ascii="Calibri" w:hAnsi="Calibri" w:cs="Arial"/>
          <w:spacing w:val="-2"/>
          <w:sz w:val="20"/>
          <w:szCs w:val="20"/>
        </w:rPr>
        <w:t>Le mémoire technique de l’entreprise, incluant :</w:t>
      </w:r>
    </w:p>
    <w:p w:rsidR="001D5121" w:rsidRPr="003D4E1A" w:rsidRDefault="001D5121" w:rsidP="00485A8F">
      <w:pPr>
        <w:numPr>
          <w:ilvl w:val="3"/>
          <w:numId w:val="24"/>
        </w:numPr>
        <w:tabs>
          <w:tab w:val="clear" w:pos="4360"/>
          <w:tab w:val="left" w:pos="-720"/>
          <w:tab w:val="num" w:pos="1440"/>
        </w:tabs>
        <w:suppressAutoHyphens/>
        <w:spacing w:before="120" w:after="100" w:afterAutospacing="1"/>
        <w:ind w:left="1440" w:hanging="540"/>
        <w:jc w:val="both"/>
        <w:rPr>
          <w:rFonts w:ascii="Calibri" w:hAnsi="Calibri" w:cs="Arial"/>
          <w:spacing w:val="-3"/>
          <w:sz w:val="20"/>
          <w:szCs w:val="20"/>
        </w:rPr>
      </w:pPr>
      <w:r w:rsidRPr="003D4E1A">
        <w:rPr>
          <w:rFonts w:ascii="Calibri" w:hAnsi="Calibri" w:cs="Arial"/>
          <w:spacing w:val="-3"/>
          <w:sz w:val="20"/>
          <w:szCs w:val="20"/>
        </w:rPr>
        <w:t>Mémoire descriptif et technique des installations de traitement. </w:t>
      </w:r>
    </w:p>
    <w:p w:rsidR="001D5121" w:rsidRPr="003D4E1A" w:rsidRDefault="001D5121" w:rsidP="00485A8F">
      <w:pPr>
        <w:numPr>
          <w:ilvl w:val="3"/>
          <w:numId w:val="24"/>
        </w:numPr>
        <w:tabs>
          <w:tab w:val="clear" w:pos="4360"/>
          <w:tab w:val="left" w:pos="-720"/>
          <w:tab w:val="num" w:pos="1440"/>
        </w:tabs>
        <w:suppressAutoHyphens/>
        <w:spacing w:before="120" w:after="100" w:afterAutospacing="1"/>
        <w:ind w:left="1440" w:hanging="540"/>
        <w:jc w:val="both"/>
        <w:rPr>
          <w:rFonts w:ascii="Calibri" w:hAnsi="Calibri" w:cs="Arial"/>
          <w:spacing w:val="-3"/>
          <w:sz w:val="20"/>
          <w:szCs w:val="20"/>
        </w:rPr>
      </w:pPr>
      <w:r w:rsidRPr="003D4E1A">
        <w:rPr>
          <w:rFonts w:ascii="Calibri" w:hAnsi="Calibri" w:cs="Arial"/>
          <w:spacing w:val="-3"/>
          <w:sz w:val="20"/>
          <w:szCs w:val="20"/>
        </w:rPr>
        <w:t>Mémoire descriptif et technique des installations de pompage.</w:t>
      </w:r>
    </w:p>
    <w:p w:rsidR="001D5121" w:rsidRPr="003D4E1A" w:rsidRDefault="001D5121" w:rsidP="00485A8F">
      <w:pPr>
        <w:numPr>
          <w:ilvl w:val="3"/>
          <w:numId w:val="24"/>
        </w:numPr>
        <w:tabs>
          <w:tab w:val="clear" w:pos="4360"/>
          <w:tab w:val="left" w:pos="-720"/>
          <w:tab w:val="num" w:pos="1440"/>
        </w:tabs>
        <w:suppressAutoHyphens/>
        <w:spacing w:before="120" w:after="100" w:afterAutospacing="1"/>
        <w:ind w:left="1440" w:hanging="540"/>
        <w:jc w:val="both"/>
        <w:rPr>
          <w:rFonts w:ascii="Calibri" w:hAnsi="Calibri" w:cs="Arial"/>
          <w:spacing w:val="-3"/>
          <w:sz w:val="20"/>
          <w:szCs w:val="20"/>
        </w:rPr>
      </w:pPr>
      <w:r w:rsidRPr="003D4E1A">
        <w:rPr>
          <w:rFonts w:ascii="Calibri" w:hAnsi="Calibri" w:cs="Arial"/>
          <w:spacing w:val="-3"/>
          <w:sz w:val="20"/>
          <w:szCs w:val="20"/>
        </w:rPr>
        <w:t>Mémoire descriptif et technique des installations électriques.</w:t>
      </w:r>
    </w:p>
    <w:p w:rsidR="001D5121" w:rsidRPr="003D4E1A" w:rsidRDefault="001D5121" w:rsidP="00485A8F">
      <w:pPr>
        <w:numPr>
          <w:ilvl w:val="3"/>
          <w:numId w:val="24"/>
        </w:numPr>
        <w:tabs>
          <w:tab w:val="clear" w:pos="4360"/>
          <w:tab w:val="left" w:pos="-720"/>
          <w:tab w:val="num" w:pos="1440"/>
        </w:tabs>
        <w:suppressAutoHyphens/>
        <w:spacing w:before="120" w:after="100" w:afterAutospacing="1"/>
        <w:ind w:left="1440" w:hanging="540"/>
        <w:jc w:val="both"/>
        <w:rPr>
          <w:rFonts w:ascii="Calibri" w:hAnsi="Calibri" w:cs="Arial"/>
          <w:spacing w:val="-3"/>
          <w:sz w:val="20"/>
          <w:szCs w:val="20"/>
        </w:rPr>
      </w:pPr>
      <w:r w:rsidRPr="003D4E1A">
        <w:rPr>
          <w:rFonts w:ascii="Calibri" w:hAnsi="Calibri" w:cs="Arial"/>
          <w:spacing w:val="-3"/>
          <w:sz w:val="20"/>
          <w:szCs w:val="20"/>
        </w:rPr>
        <w:t>Mémoire sur l’exécution des travaux et Moyens humains et matériel affectés au chantier.</w:t>
      </w:r>
    </w:p>
    <w:p w:rsidR="001D5121" w:rsidRPr="003D4E1A" w:rsidRDefault="001D5121" w:rsidP="00485A8F">
      <w:pPr>
        <w:numPr>
          <w:ilvl w:val="3"/>
          <w:numId w:val="24"/>
        </w:numPr>
        <w:tabs>
          <w:tab w:val="clear" w:pos="4360"/>
          <w:tab w:val="left" w:pos="-720"/>
          <w:tab w:val="num" w:pos="1440"/>
        </w:tabs>
        <w:suppressAutoHyphens/>
        <w:spacing w:before="120"/>
        <w:ind w:left="1440" w:hanging="540"/>
        <w:jc w:val="both"/>
        <w:rPr>
          <w:rFonts w:ascii="Calibri" w:hAnsi="Calibri" w:cs="Arial"/>
          <w:spacing w:val="-3"/>
          <w:sz w:val="20"/>
          <w:szCs w:val="20"/>
        </w:rPr>
      </w:pPr>
      <w:r w:rsidRPr="003D4E1A">
        <w:rPr>
          <w:rFonts w:ascii="Calibri" w:hAnsi="Calibri" w:cs="Arial"/>
          <w:spacing w:val="-3"/>
          <w:sz w:val="20"/>
          <w:szCs w:val="20"/>
        </w:rPr>
        <w:t xml:space="preserve">Nomenclature des ouvrages et des équipements. </w:t>
      </w:r>
    </w:p>
    <w:p w:rsidR="001D5121" w:rsidRPr="003D4E1A" w:rsidRDefault="001D5121" w:rsidP="00EB3008">
      <w:pPr>
        <w:tabs>
          <w:tab w:val="left" w:pos="-720"/>
        </w:tabs>
        <w:suppressAutoHyphens/>
        <w:spacing w:before="120"/>
        <w:ind w:left="900"/>
        <w:jc w:val="both"/>
        <w:rPr>
          <w:rFonts w:ascii="Calibri" w:hAnsi="Calibri" w:cs="Arial"/>
          <w:b/>
          <w:bCs/>
          <w:spacing w:val="-3"/>
          <w:sz w:val="20"/>
          <w:szCs w:val="20"/>
        </w:rPr>
      </w:pPr>
      <w:r w:rsidRPr="003D4E1A">
        <w:rPr>
          <w:rFonts w:ascii="Calibri" w:hAnsi="Calibri" w:cs="Arial"/>
          <w:b/>
          <w:bCs/>
          <w:spacing w:val="-3"/>
          <w:sz w:val="20"/>
          <w:szCs w:val="20"/>
        </w:rPr>
        <w:t>Pour la station de traitement, les documents du mémoire technique complètent ou modifient les chapitres des clauses techniques particulières.</w:t>
      </w:r>
    </w:p>
    <w:p w:rsidR="001D5121" w:rsidRPr="003D4E1A" w:rsidRDefault="001D5121" w:rsidP="00590EA9">
      <w:pPr>
        <w:pStyle w:val="Heading2"/>
      </w:pPr>
      <w:bookmarkStart w:id="8" w:name="_Toc358977833"/>
      <w:bookmarkStart w:id="9" w:name="_Toc379367163"/>
      <w:r w:rsidRPr="003D4E1A">
        <w:t>Article 5.</w:t>
      </w:r>
      <w:r w:rsidRPr="003D4E1A">
        <w:tab/>
        <w:t>Documents annexés au marché</w:t>
      </w:r>
      <w:bookmarkEnd w:id="8"/>
      <w:bookmarkEnd w:id="9"/>
    </w:p>
    <w:p w:rsidR="001D5121" w:rsidRPr="003D4E1A" w:rsidRDefault="001D5121" w:rsidP="00161042">
      <w:pPr>
        <w:pStyle w:val="BodyText3"/>
        <w:keepNext w:val="0"/>
        <w:ind w:left="709"/>
        <w:rPr>
          <w:rFonts w:ascii="Calibri" w:hAnsi="Calibri" w:cs="Calibri"/>
          <w:color w:val="auto"/>
          <w:sz w:val="22"/>
        </w:rPr>
      </w:pPr>
      <w:r w:rsidRPr="003D4E1A">
        <w:rPr>
          <w:rFonts w:ascii="Calibri" w:hAnsi="Calibri" w:cs="Calibri"/>
          <w:color w:val="auto"/>
          <w:sz w:val="22"/>
        </w:rPr>
        <w:t xml:space="preserve">Sont annexés au présent marché : </w:t>
      </w:r>
      <w:r w:rsidRPr="003D4E1A">
        <w:rPr>
          <w:rFonts w:ascii="Calibri" w:hAnsi="Calibri" w:cs="Arial"/>
          <w:sz w:val="22"/>
          <w:szCs w:val="20"/>
        </w:rPr>
        <w:t>L’ensemble des documents constituant l’offre.</w:t>
      </w:r>
    </w:p>
    <w:p w:rsidR="001D5121" w:rsidRPr="003D4E1A" w:rsidRDefault="001D5121" w:rsidP="007563BD">
      <w:pPr>
        <w:pStyle w:val="BodyText3"/>
        <w:keepNext w:val="0"/>
        <w:ind w:left="709"/>
        <w:rPr>
          <w:rFonts w:ascii="Calibri" w:hAnsi="Calibri" w:cs="Calibri"/>
          <w:color w:val="auto"/>
          <w:sz w:val="22"/>
        </w:rPr>
      </w:pPr>
      <w:r w:rsidRPr="003D4E1A">
        <w:rPr>
          <w:rFonts w:ascii="Calibri" w:hAnsi="Calibri" w:cs="Calibri"/>
          <w:color w:val="auto"/>
          <w:sz w:val="22"/>
        </w:rPr>
        <w:t>Seront ultérieurement annexés au présent marché : Sans objet</w:t>
      </w:r>
    </w:p>
    <w:p w:rsidR="001D5121" w:rsidRPr="003D4E1A" w:rsidRDefault="001D5121" w:rsidP="00590EA9">
      <w:pPr>
        <w:pStyle w:val="Heading2"/>
      </w:pPr>
      <w:bookmarkStart w:id="10" w:name="_Toc358977834"/>
      <w:bookmarkStart w:id="11" w:name="_Toc379367164"/>
      <w:r w:rsidRPr="003D4E1A">
        <w:t>Article 6.</w:t>
      </w:r>
      <w:r w:rsidRPr="003D4E1A">
        <w:tab/>
        <w:t>Textes de référence</w:t>
      </w:r>
      <w:bookmarkEnd w:id="10"/>
      <w:bookmarkEnd w:id="11"/>
    </w:p>
    <w:p w:rsidR="001D5121" w:rsidRPr="003D4E1A" w:rsidRDefault="001D5121" w:rsidP="008A0F06">
      <w:pPr>
        <w:pStyle w:val="BodyTextIndent"/>
        <w:spacing w:before="120" w:after="120"/>
        <w:ind w:left="0"/>
        <w:jc w:val="both"/>
        <w:rPr>
          <w:rFonts w:ascii="Calibri" w:hAnsi="Calibri" w:cs="Arial"/>
          <w:noProof/>
          <w:sz w:val="22"/>
        </w:rPr>
      </w:pPr>
      <w:r w:rsidRPr="003D4E1A">
        <w:rPr>
          <w:rFonts w:ascii="Calibri" w:hAnsi="Calibri" w:cs="Arial"/>
          <w:noProof/>
          <w:sz w:val="22"/>
        </w:rPr>
        <w:t>L'Entrepreneur est soumis en plus des textes de références cités dans le cahier des clauses administratives et financières générales (CCAFG) aux règles de la Kreditanstalt für Wiederaufbau (K.f.W.) pour la passation des marchés dans le cadre de la coopération financière de la R.F.A. avec les pays en voie de développement.</w:t>
      </w:r>
    </w:p>
    <w:p w:rsidR="001D5121" w:rsidRPr="003D4E1A" w:rsidRDefault="001D5121" w:rsidP="00590EA9">
      <w:pPr>
        <w:pStyle w:val="Heading2"/>
      </w:pPr>
      <w:bookmarkStart w:id="12" w:name="_Toc358977835"/>
      <w:bookmarkStart w:id="13" w:name="_Toc379367165"/>
      <w:r w:rsidRPr="003D4E1A">
        <w:t>Article 7.</w:t>
      </w:r>
      <w:r w:rsidRPr="003D4E1A">
        <w:tab/>
        <w:t>Obligations générales des parties contractantes</w:t>
      </w:r>
      <w:bookmarkEnd w:id="12"/>
      <w:bookmarkEnd w:id="13"/>
    </w:p>
    <w:p w:rsidR="001D5121" w:rsidRPr="003D4E1A" w:rsidRDefault="001D5121" w:rsidP="00E501FE">
      <w:pPr>
        <w:pStyle w:val="ListParagraph"/>
        <w:numPr>
          <w:ilvl w:val="1"/>
          <w:numId w:val="17"/>
        </w:numPr>
        <w:spacing w:after="120"/>
        <w:outlineLvl w:val="1"/>
        <w:rPr>
          <w:rFonts w:ascii="Calibri" w:hAnsi="Calibri" w:cs="Arial"/>
          <w:b/>
          <w:bCs/>
          <w:i/>
          <w:noProof/>
          <w:vanish/>
          <w:color w:val="0000FF"/>
          <w:sz w:val="18"/>
          <w:szCs w:val="18"/>
          <w:lang w:eastAsia="en-US"/>
        </w:rPr>
      </w:pPr>
      <w:bookmarkStart w:id="14" w:name="_Toc358979740"/>
      <w:bookmarkStart w:id="15" w:name="_Toc368258977"/>
      <w:bookmarkStart w:id="16" w:name="_Toc368259042"/>
      <w:bookmarkStart w:id="17" w:name="_Toc368301472"/>
      <w:bookmarkStart w:id="18" w:name="_Toc368303128"/>
      <w:bookmarkStart w:id="19" w:name="_Toc376162974"/>
      <w:bookmarkStart w:id="20" w:name="_Toc378761335"/>
      <w:bookmarkStart w:id="21" w:name="_Toc379367166"/>
      <w:bookmarkEnd w:id="14"/>
      <w:bookmarkEnd w:id="15"/>
      <w:bookmarkEnd w:id="16"/>
      <w:bookmarkEnd w:id="17"/>
      <w:bookmarkEnd w:id="18"/>
      <w:bookmarkEnd w:id="19"/>
      <w:bookmarkEnd w:id="20"/>
      <w:bookmarkEnd w:id="21"/>
    </w:p>
    <w:p w:rsidR="001D5121" w:rsidRPr="003D4E1A" w:rsidRDefault="001D5121" w:rsidP="00E501FE">
      <w:pPr>
        <w:pStyle w:val="ListParagraph"/>
        <w:numPr>
          <w:ilvl w:val="1"/>
          <w:numId w:val="17"/>
        </w:numPr>
        <w:spacing w:after="120"/>
        <w:outlineLvl w:val="1"/>
        <w:rPr>
          <w:rFonts w:ascii="Calibri" w:hAnsi="Calibri" w:cs="Arial"/>
          <w:b/>
          <w:bCs/>
          <w:i/>
          <w:noProof/>
          <w:vanish/>
          <w:color w:val="0000FF"/>
          <w:sz w:val="18"/>
          <w:szCs w:val="18"/>
          <w:lang w:eastAsia="en-US"/>
        </w:rPr>
      </w:pPr>
      <w:bookmarkStart w:id="22" w:name="_Toc358979741"/>
      <w:bookmarkStart w:id="23" w:name="_Toc368258978"/>
      <w:bookmarkStart w:id="24" w:name="_Toc368259043"/>
      <w:bookmarkStart w:id="25" w:name="_Toc368301473"/>
      <w:bookmarkStart w:id="26" w:name="_Toc368303129"/>
      <w:bookmarkStart w:id="27" w:name="_Toc376162975"/>
      <w:bookmarkStart w:id="28" w:name="_Toc378761336"/>
      <w:bookmarkStart w:id="29" w:name="_Toc379367167"/>
      <w:bookmarkEnd w:id="22"/>
      <w:bookmarkEnd w:id="23"/>
      <w:bookmarkEnd w:id="24"/>
      <w:bookmarkEnd w:id="25"/>
      <w:bookmarkEnd w:id="26"/>
      <w:bookmarkEnd w:id="27"/>
      <w:bookmarkEnd w:id="28"/>
      <w:bookmarkEnd w:id="29"/>
    </w:p>
    <w:p w:rsidR="001D5121" w:rsidRPr="003D4E1A" w:rsidRDefault="001D5121" w:rsidP="00E501FE">
      <w:pPr>
        <w:pStyle w:val="ListParagraph"/>
        <w:numPr>
          <w:ilvl w:val="1"/>
          <w:numId w:val="17"/>
        </w:numPr>
        <w:spacing w:after="120"/>
        <w:outlineLvl w:val="1"/>
        <w:rPr>
          <w:rFonts w:ascii="Calibri" w:hAnsi="Calibri" w:cs="Arial"/>
          <w:b/>
          <w:bCs/>
          <w:i/>
          <w:noProof/>
          <w:vanish/>
          <w:color w:val="0000FF"/>
          <w:sz w:val="18"/>
          <w:szCs w:val="18"/>
          <w:lang w:eastAsia="en-US"/>
        </w:rPr>
      </w:pPr>
      <w:bookmarkStart w:id="30" w:name="_Toc358979742"/>
      <w:bookmarkStart w:id="31" w:name="_Toc368258979"/>
      <w:bookmarkStart w:id="32" w:name="_Toc368259044"/>
      <w:bookmarkStart w:id="33" w:name="_Toc368301474"/>
      <w:bookmarkStart w:id="34" w:name="_Toc368303130"/>
      <w:bookmarkStart w:id="35" w:name="_Toc376162976"/>
      <w:bookmarkStart w:id="36" w:name="_Toc378761337"/>
      <w:bookmarkStart w:id="37" w:name="_Toc379367168"/>
      <w:bookmarkEnd w:id="30"/>
      <w:bookmarkEnd w:id="31"/>
      <w:bookmarkEnd w:id="32"/>
      <w:bookmarkEnd w:id="33"/>
      <w:bookmarkEnd w:id="34"/>
      <w:bookmarkEnd w:id="35"/>
      <w:bookmarkEnd w:id="36"/>
      <w:bookmarkEnd w:id="37"/>
    </w:p>
    <w:p w:rsidR="001D5121" w:rsidRPr="003D4E1A" w:rsidRDefault="001D5121" w:rsidP="00E501FE">
      <w:pPr>
        <w:pStyle w:val="ListParagraph"/>
        <w:numPr>
          <w:ilvl w:val="1"/>
          <w:numId w:val="17"/>
        </w:numPr>
        <w:spacing w:after="120"/>
        <w:outlineLvl w:val="1"/>
        <w:rPr>
          <w:rFonts w:ascii="Calibri" w:hAnsi="Calibri" w:cs="Arial"/>
          <w:b/>
          <w:bCs/>
          <w:i/>
          <w:noProof/>
          <w:vanish/>
          <w:color w:val="0000FF"/>
          <w:sz w:val="18"/>
          <w:szCs w:val="18"/>
          <w:lang w:eastAsia="en-US"/>
        </w:rPr>
      </w:pPr>
      <w:bookmarkStart w:id="38" w:name="_Toc358979743"/>
      <w:bookmarkStart w:id="39" w:name="_Toc368258980"/>
      <w:bookmarkStart w:id="40" w:name="_Toc368259045"/>
      <w:bookmarkStart w:id="41" w:name="_Toc368301475"/>
      <w:bookmarkStart w:id="42" w:name="_Toc368303131"/>
      <w:bookmarkStart w:id="43" w:name="_Toc376162977"/>
      <w:bookmarkStart w:id="44" w:name="_Toc378761338"/>
      <w:bookmarkStart w:id="45" w:name="_Toc379367169"/>
      <w:bookmarkEnd w:id="38"/>
      <w:bookmarkEnd w:id="39"/>
      <w:bookmarkEnd w:id="40"/>
      <w:bookmarkEnd w:id="41"/>
      <w:bookmarkEnd w:id="42"/>
      <w:bookmarkEnd w:id="43"/>
      <w:bookmarkEnd w:id="44"/>
      <w:bookmarkEnd w:id="45"/>
    </w:p>
    <w:p w:rsidR="001D5121" w:rsidRPr="003D4E1A" w:rsidRDefault="001D5121" w:rsidP="00E501FE">
      <w:pPr>
        <w:pStyle w:val="ListParagraph"/>
        <w:numPr>
          <w:ilvl w:val="1"/>
          <w:numId w:val="17"/>
        </w:numPr>
        <w:spacing w:after="120"/>
        <w:outlineLvl w:val="1"/>
        <w:rPr>
          <w:rFonts w:ascii="Calibri" w:hAnsi="Calibri" w:cs="Arial"/>
          <w:b/>
          <w:bCs/>
          <w:i/>
          <w:noProof/>
          <w:vanish/>
          <w:color w:val="0000FF"/>
          <w:sz w:val="18"/>
          <w:szCs w:val="18"/>
          <w:lang w:eastAsia="en-US"/>
        </w:rPr>
      </w:pPr>
      <w:bookmarkStart w:id="46" w:name="_Toc358979744"/>
      <w:bookmarkStart w:id="47" w:name="_Toc368258981"/>
      <w:bookmarkStart w:id="48" w:name="_Toc368259046"/>
      <w:bookmarkStart w:id="49" w:name="_Toc368301476"/>
      <w:bookmarkStart w:id="50" w:name="_Toc368303132"/>
      <w:bookmarkStart w:id="51" w:name="_Toc376162978"/>
      <w:bookmarkStart w:id="52" w:name="_Toc378761339"/>
      <w:bookmarkStart w:id="53" w:name="_Toc379367170"/>
      <w:bookmarkEnd w:id="46"/>
      <w:bookmarkEnd w:id="47"/>
      <w:bookmarkEnd w:id="48"/>
      <w:bookmarkEnd w:id="49"/>
      <w:bookmarkEnd w:id="50"/>
      <w:bookmarkEnd w:id="51"/>
      <w:bookmarkEnd w:id="52"/>
      <w:bookmarkEnd w:id="53"/>
    </w:p>
    <w:p w:rsidR="001D5121" w:rsidRPr="003D4E1A" w:rsidRDefault="001D5121" w:rsidP="00E501FE">
      <w:pPr>
        <w:pStyle w:val="ListParagraph"/>
        <w:numPr>
          <w:ilvl w:val="1"/>
          <w:numId w:val="17"/>
        </w:numPr>
        <w:spacing w:after="120"/>
        <w:outlineLvl w:val="1"/>
        <w:rPr>
          <w:rFonts w:ascii="Calibri" w:hAnsi="Calibri" w:cs="Arial"/>
          <w:b/>
          <w:bCs/>
          <w:i/>
          <w:noProof/>
          <w:vanish/>
          <w:color w:val="0000FF"/>
          <w:sz w:val="18"/>
          <w:szCs w:val="18"/>
          <w:lang w:eastAsia="en-US"/>
        </w:rPr>
      </w:pPr>
      <w:bookmarkStart w:id="54" w:name="_Toc358979745"/>
      <w:bookmarkStart w:id="55" w:name="_Toc368258982"/>
      <w:bookmarkStart w:id="56" w:name="_Toc368259047"/>
      <w:bookmarkStart w:id="57" w:name="_Toc368301477"/>
      <w:bookmarkStart w:id="58" w:name="_Toc368303133"/>
      <w:bookmarkStart w:id="59" w:name="_Toc376162979"/>
      <w:bookmarkStart w:id="60" w:name="_Toc378761340"/>
      <w:bookmarkStart w:id="61" w:name="_Toc379367171"/>
      <w:bookmarkEnd w:id="54"/>
      <w:bookmarkEnd w:id="55"/>
      <w:bookmarkEnd w:id="56"/>
      <w:bookmarkEnd w:id="57"/>
      <w:bookmarkEnd w:id="58"/>
      <w:bookmarkEnd w:id="59"/>
      <w:bookmarkEnd w:id="60"/>
      <w:bookmarkEnd w:id="61"/>
    </w:p>
    <w:p w:rsidR="001D5121" w:rsidRPr="003D4E1A" w:rsidRDefault="001D5121" w:rsidP="00E501FE">
      <w:pPr>
        <w:pStyle w:val="ListParagraph"/>
        <w:numPr>
          <w:ilvl w:val="1"/>
          <w:numId w:val="17"/>
        </w:numPr>
        <w:spacing w:after="120"/>
        <w:outlineLvl w:val="1"/>
        <w:rPr>
          <w:rFonts w:ascii="Calibri" w:hAnsi="Calibri" w:cs="Arial"/>
          <w:b/>
          <w:bCs/>
          <w:i/>
          <w:noProof/>
          <w:vanish/>
          <w:color w:val="0000FF"/>
          <w:sz w:val="18"/>
          <w:szCs w:val="18"/>
          <w:lang w:eastAsia="en-US"/>
        </w:rPr>
      </w:pPr>
      <w:bookmarkStart w:id="62" w:name="_Toc358979746"/>
      <w:bookmarkStart w:id="63" w:name="_Toc368258983"/>
      <w:bookmarkStart w:id="64" w:name="_Toc368259048"/>
      <w:bookmarkStart w:id="65" w:name="_Toc368301478"/>
      <w:bookmarkStart w:id="66" w:name="_Toc368303134"/>
      <w:bookmarkStart w:id="67" w:name="_Toc376162980"/>
      <w:bookmarkStart w:id="68" w:name="_Toc378761341"/>
      <w:bookmarkStart w:id="69" w:name="_Toc379367172"/>
      <w:bookmarkEnd w:id="62"/>
      <w:bookmarkEnd w:id="63"/>
      <w:bookmarkEnd w:id="64"/>
      <w:bookmarkEnd w:id="65"/>
      <w:bookmarkEnd w:id="66"/>
      <w:bookmarkEnd w:id="67"/>
      <w:bookmarkEnd w:id="68"/>
      <w:bookmarkEnd w:id="69"/>
    </w:p>
    <w:p w:rsidR="001D5121" w:rsidRPr="003D4E1A" w:rsidRDefault="001D5121" w:rsidP="00590EA9">
      <w:pPr>
        <w:pStyle w:val="Heading2"/>
      </w:pPr>
      <w:bookmarkStart w:id="70" w:name="_Toc358977836"/>
      <w:bookmarkStart w:id="71" w:name="_Toc379367173"/>
      <w:r w:rsidRPr="003D4E1A">
        <w:t>7.1</w:t>
      </w:r>
      <w:r w:rsidRPr="003D4E1A">
        <w:tab/>
      </w:r>
      <w:r w:rsidRPr="003D4E1A">
        <w:tab/>
        <w:t>Maître d’ouvrage et maître d’œuvre</w:t>
      </w:r>
      <w:bookmarkEnd w:id="70"/>
      <w:bookmarkEnd w:id="71"/>
    </w:p>
    <w:p w:rsidR="001D5121" w:rsidRPr="003D4E1A" w:rsidRDefault="001D5121" w:rsidP="007563BD">
      <w:pPr>
        <w:pStyle w:val="BodyText3"/>
        <w:keepNext w:val="0"/>
        <w:spacing w:before="0" w:after="120"/>
        <w:rPr>
          <w:rFonts w:ascii="Calibri" w:hAnsi="Calibri" w:cs="Arial"/>
          <w:color w:val="auto"/>
          <w:sz w:val="22"/>
          <w:szCs w:val="22"/>
        </w:rPr>
      </w:pPr>
      <w:r w:rsidRPr="003D4E1A">
        <w:rPr>
          <w:rFonts w:ascii="Calibri" w:hAnsi="Calibri" w:cs="Arial"/>
          <w:color w:val="auto"/>
          <w:sz w:val="22"/>
          <w:szCs w:val="22"/>
          <w:u w:val="single"/>
        </w:rPr>
        <w:t>Le maître d’ouvrage :</w:t>
      </w:r>
      <w:r w:rsidRPr="003D4E1A">
        <w:rPr>
          <w:rFonts w:ascii="Calibri" w:hAnsi="Calibri" w:cs="Arial"/>
          <w:color w:val="auto"/>
          <w:sz w:val="22"/>
          <w:szCs w:val="22"/>
        </w:rPr>
        <w:t xml:space="preserve"> ONEE – Branche Eau représenté par son Directeur Général de l’ONEE ou par son délégataire.</w:t>
      </w:r>
    </w:p>
    <w:p w:rsidR="001D5121" w:rsidRPr="003D4E1A" w:rsidRDefault="001D5121" w:rsidP="007563BD">
      <w:pPr>
        <w:spacing w:before="120" w:after="240"/>
        <w:jc w:val="both"/>
        <w:rPr>
          <w:rFonts w:ascii="Calibri" w:hAnsi="Calibri" w:cs="Arial"/>
          <w:sz w:val="22"/>
          <w:szCs w:val="22"/>
        </w:rPr>
      </w:pPr>
      <w:r w:rsidRPr="003D4E1A">
        <w:rPr>
          <w:rFonts w:ascii="Calibri" w:hAnsi="Calibri" w:cs="Arial"/>
          <w:sz w:val="22"/>
          <w:szCs w:val="22"/>
          <w:u w:val="single"/>
        </w:rPr>
        <w:t>Le maître d’œuvre :</w:t>
      </w:r>
      <w:r w:rsidRPr="003D4E1A">
        <w:rPr>
          <w:rFonts w:ascii="Calibri" w:hAnsi="Calibri" w:cs="Arial"/>
          <w:sz w:val="22"/>
          <w:szCs w:val="22"/>
        </w:rPr>
        <w:t xml:space="preserve"> Le chef de la Division Aménagement Sud de la Direction Technique et Ingénierie de l’ONEE – Branche Eau.</w:t>
      </w:r>
    </w:p>
    <w:p w:rsidR="001D5121" w:rsidRPr="003D4E1A" w:rsidRDefault="001D5121" w:rsidP="00590EA9">
      <w:pPr>
        <w:pStyle w:val="Heading2"/>
      </w:pPr>
      <w:bookmarkStart w:id="72" w:name="_Toc358977839"/>
      <w:bookmarkStart w:id="73" w:name="_Toc379367174"/>
      <w:r w:rsidRPr="003D4E1A">
        <w:t>7.4</w:t>
      </w:r>
      <w:r w:rsidRPr="003D4E1A">
        <w:tab/>
      </w:r>
      <w:r w:rsidRPr="003D4E1A">
        <w:tab/>
        <w:t>Sous-traitance</w:t>
      </w:r>
      <w:bookmarkEnd w:id="72"/>
      <w:bookmarkEnd w:id="73"/>
    </w:p>
    <w:p w:rsidR="001D5121" w:rsidRPr="008D6D8C" w:rsidRDefault="001D5121" w:rsidP="007B2B9C">
      <w:pPr>
        <w:pStyle w:val="BodyText3"/>
        <w:keepNext w:val="0"/>
        <w:spacing w:before="0" w:after="120"/>
        <w:rPr>
          <w:rFonts w:ascii="Calibri" w:hAnsi="Calibri" w:cs="Arial"/>
          <w:color w:val="auto"/>
          <w:sz w:val="22"/>
          <w:szCs w:val="22"/>
        </w:rPr>
      </w:pPr>
      <w:r w:rsidRPr="008D6D8C">
        <w:rPr>
          <w:rFonts w:ascii="Calibri" w:hAnsi="Calibri" w:cs="Arial"/>
          <w:color w:val="auto"/>
          <w:sz w:val="22"/>
          <w:szCs w:val="22"/>
        </w:rPr>
        <w:t>Les prestations qui constituent le corps d’état principal et  qui ne peuvent faire l’objet de sous-traitance sont: Etudes, Process, essai et</w:t>
      </w:r>
      <w:r w:rsidRPr="008D6D8C">
        <w:t xml:space="preserve"> </w:t>
      </w:r>
      <w:r w:rsidRPr="008D6D8C">
        <w:rPr>
          <w:rFonts w:ascii="Calibri" w:hAnsi="Calibri" w:cs="Arial"/>
          <w:color w:val="auto"/>
          <w:sz w:val="22"/>
          <w:szCs w:val="22"/>
        </w:rPr>
        <w:t>mise en service semi- industrielle et industrielle des ouvrages du projet.</w:t>
      </w:r>
    </w:p>
    <w:p w:rsidR="001D5121" w:rsidRPr="003D4E1A" w:rsidRDefault="001D5121" w:rsidP="007563BD">
      <w:pPr>
        <w:pStyle w:val="BodyText3"/>
        <w:keepNext w:val="0"/>
        <w:spacing w:after="120"/>
        <w:rPr>
          <w:rFonts w:ascii="Calibri" w:hAnsi="Calibri" w:cs="Arial"/>
          <w:color w:val="0070C0"/>
          <w:sz w:val="22"/>
          <w:szCs w:val="22"/>
        </w:rPr>
      </w:pPr>
      <w:r w:rsidRPr="003D4E1A">
        <w:rPr>
          <w:rFonts w:ascii="Calibri" w:hAnsi="Calibri" w:cs="Arial"/>
          <w:color w:val="auto"/>
          <w:sz w:val="22"/>
          <w:szCs w:val="22"/>
        </w:rPr>
        <w:t>Le titulaire du marché est tenu, lorsqu’il envisage de sous-traiter une partie du marché, de la confier à des prestataires installés au Maroc et notamment à des petites et moyennes entreprises.</w:t>
      </w:r>
      <w:r w:rsidRPr="003D4E1A">
        <w:rPr>
          <w:rFonts w:ascii="Calibri" w:hAnsi="Calibri" w:cs="Arial"/>
          <w:color w:val="0070C0"/>
          <w:sz w:val="22"/>
          <w:szCs w:val="22"/>
        </w:rPr>
        <w:t xml:space="preserve"> </w:t>
      </w:r>
    </w:p>
    <w:p w:rsidR="001D5121" w:rsidRPr="003D4E1A" w:rsidRDefault="001D5121" w:rsidP="00590EA9">
      <w:pPr>
        <w:pStyle w:val="Heading2"/>
      </w:pPr>
      <w:bookmarkStart w:id="74" w:name="_Toc358977842"/>
      <w:bookmarkStart w:id="75" w:name="_Toc379367175"/>
      <w:r w:rsidRPr="003D4E1A">
        <w:t>CHAPITRE I – DELAIS</w:t>
      </w:r>
      <w:bookmarkEnd w:id="74"/>
      <w:bookmarkEnd w:id="75"/>
    </w:p>
    <w:p w:rsidR="001D5121" w:rsidRPr="003D4E1A" w:rsidRDefault="001D5121" w:rsidP="00590EA9">
      <w:pPr>
        <w:pStyle w:val="Heading2"/>
      </w:pPr>
      <w:bookmarkStart w:id="76" w:name="_Toc358977843"/>
      <w:bookmarkStart w:id="77" w:name="_Toc379367176"/>
      <w:r w:rsidRPr="003D4E1A">
        <w:t>Article 10.</w:t>
      </w:r>
      <w:r w:rsidRPr="003D4E1A">
        <w:tab/>
      </w:r>
      <w:r w:rsidRPr="003D4E1A">
        <w:tab/>
        <w:t>Délai d’exécution</w:t>
      </w:r>
      <w:bookmarkEnd w:id="76"/>
      <w:bookmarkEnd w:id="77"/>
    </w:p>
    <w:p w:rsidR="001D5121" w:rsidRPr="003D4E1A" w:rsidRDefault="001D5121" w:rsidP="00285FB2">
      <w:pPr>
        <w:tabs>
          <w:tab w:val="left" w:pos="0"/>
        </w:tabs>
        <w:suppressAutoHyphens/>
        <w:jc w:val="both"/>
        <w:rPr>
          <w:rFonts w:ascii="Calibri" w:hAnsi="Calibri" w:cs="Arial"/>
          <w:spacing w:val="-3"/>
          <w:sz w:val="22"/>
          <w:szCs w:val="22"/>
        </w:rPr>
      </w:pPr>
      <w:bookmarkStart w:id="78" w:name="_Toc358979755"/>
      <w:bookmarkStart w:id="79" w:name="_Toc368258989"/>
      <w:bookmarkStart w:id="80" w:name="_Toc368259054"/>
      <w:bookmarkStart w:id="81" w:name="_Toc368301484"/>
      <w:bookmarkStart w:id="82" w:name="_Toc368303140"/>
      <w:bookmarkStart w:id="83" w:name="_Toc376162986"/>
      <w:bookmarkEnd w:id="78"/>
      <w:bookmarkEnd w:id="79"/>
      <w:bookmarkEnd w:id="80"/>
      <w:bookmarkEnd w:id="81"/>
      <w:bookmarkEnd w:id="82"/>
      <w:bookmarkEnd w:id="83"/>
      <w:r w:rsidRPr="003D4E1A">
        <w:rPr>
          <w:rFonts w:ascii="Calibri" w:hAnsi="Calibri" w:cs="Arial"/>
          <w:spacing w:val="-3"/>
          <w:sz w:val="22"/>
          <w:szCs w:val="22"/>
        </w:rPr>
        <w:t xml:space="preserve">Le délai global d'exécution contractuel est de </w:t>
      </w:r>
      <w:r w:rsidRPr="003D4E1A">
        <w:rPr>
          <w:rFonts w:ascii="Calibri" w:hAnsi="Calibri" w:cs="Arial"/>
          <w:b/>
          <w:bCs/>
          <w:sz w:val="22"/>
          <w:szCs w:val="22"/>
        </w:rPr>
        <w:t xml:space="preserve">Vingt- </w:t>
      </w:r>
      <w:r>
        <w:rPr>
          <w:rFonts w:ascii="Calibri" w:hAnsi="Calibri" w:cs="Arial"/>
          <w:b/>
          <w:bCs/>
          <w:sz w:val="22"/>
          <w:szCs w:val="22"/>
        </w:rPr>
        <w:t>Sept</w:t>
      </w:r>
      <w:r w:rsidRPr="003D4E1A">
        <w:rPr>
          <w:rFonts w:ascii="Calibri" w:hAnsi="Calibri" w:cs="Arial"/>
          <w:b/>
          <w:bCs/>
          <w:sz w:val="22"/>
          <w:szCs w:val="22"/>
        </w:rPr>
        <w:t xml:space="preserve"> (2</w:t>
      </w:r>
      <w:r>
        <w:rPr>
          <w:rFonts w:ascii="Calibri" w:hAnsi="Calibri" w:cs="Arial"/>
          <w:b/>
          <w:bCs/>
          <w:sz w:val="22"/>
          <w:szCs w:val="22"/>
        </w:rPr>
        <w:t>7</w:t>
      </w:r>
      <w:r w:rsidRPr="003D4E1A">
        <w:rPr>
          <w:rFonts w:ascii="Calibri" w:hAnsi="Calibri" w:cs="Arial"/>
          <w:b/>
          <w:bCs/>
          <w:sz w:val="22"/>
          <w:szCs w:val="22"/>
        </w:rPr>
        <w:t xml:space="preserve"> mois)</w:t>
      </w:r>
      <w:r w:rsidRPr="003D4E1A">
        <w:rPr>
          <w:rFonts w:ascii="Calibri" w:hAnsi="Calibri" w:cs="Arial"/>
          <w:spacing w:val="-3"/>
          <w:sz w:val="22"/>
          <w:szCs w:val="22"/>
        </w:rPr>
        <w:t xml:space="preserve">, y compris l'essai général,  le repliement des installations de chantier, la remise en état des lieux et la remise des plans de récolement. </w:t>
      </w:r>
    </w:p>
    <w:p w:rsidR="001D5121" w:rsidRPr="003D4E1A" w:rsidRDefault="001D5121" w:rsidP="00D56E3D">
      <w:pPr>
        <w:pStyle w:val="BodyText2"/>
        <w:spacing w:before="0"/>
        <w:rPr>
          <w:rFonts w:ascii="Calibri" w:hAnsi="Calibri"/>
          <w:sz w:val="22"/>
          <w:szCs w:val="22"/>
        </w:rPr>
      </w:pPr>
      <w:r w:rsidRPr="003D4E1A">
        <w:rPr>
          <w:rFonts w:ascii="Calibri" w:hAnsi="Calibri"/>
          <w:sz w:val="22"/>
          <w:szCs w:val="22"/>
        </w:rPr>
        <w:t>A titre indicatif, le délai global est décomposé comme suit :</w:t>
      </w:r>
    </w:p>
    <w:p w:rsidR="001D5121" w:rsidRPr="003D4E1A" w:rsidRDefault="001D5121" w:rsidP="00D56E3D">
      <w:pPr>
        <w:pStyle w:val="BodyText2"/>
        <w:spacing w:before="0"/>
        <w:rPr>
          <w:rFonts w:ascii="Calibri" w:hAnsi="Calibri"/>
          <w:sz w:val="16"/>
          <w:szCs w:val="16"/>
        </w:rPr>
      </w:pPr>
    </w:p>
    <w:tbl>
      <w:tblPr>
        <w:tblpPr w:leftFromText="141" w:rightFromText="141" w:vertAnchor="text" w:tblpXSpec="center" w:tblpY="1"/>
        <w:tblOverlap w:val="never"/>
        <w:tblW w:w="921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5922"/>
        <w:gridCol w:w="1386"/>
        <w:gridCol w:w="1909"/>
      </w:tblGrid>
      <w:tr w:rsidR="001D5121" w:rsidRPr="003D4E1A" w:rsidTr="00383F4F">
        <w:trPr>
          <w:trHeight w:val="195"/>
        </w:trPr>
        <w:tc>
          <w:tcPr>
            <w:tcW w:w="5922" w:type="dxa"/>
            <w:tcBorders>
              <w:top w:val="double" w:sz="4" w:space="0" w:color="auto"/>
            </w:tcBorders>
            <w:vAlign w:val="center"/>
          </w:tcPr>
          <w:p w:rsidR="001D5121" w:rsidRPr="003D4E1A" w:rsidRDefault="001D5121" w:rsidP="00D56E3D">
            <w:pPr>
              <w:keepNext/>
              <w:spacing w:before="120"/>
              <w:rPr>
                <w:rFonts w:ascii="Calibri" w:hAnsi="Calibri" w:cs="Arial"/>
                <w:b/>
                <w:sz w:val="20"/>
                <w:szCs w:val="20"/>
              </w:rPr>
            </w:pPr>
            <w:r w:rsidRPr="003D4E1A">
              <w:rPr>
                <w:rFonts w:ascii="Calibri" w:hAnsi="Calibri" w:cs="Arial"/>
                <w:b/>
                <w:sz w:val="20"/>
                <w:szCs w:val="20"/>
              </w:rPr>
              <w:t>Phases</w:t>
            </w:r>
          </w:p>
        </w:tc>
        <w:tc>
          <w:tcPr>
            <w:tcW w:w="1386" w:type="dxa"/>
            <w:tcBorders>
              <w:top w:val="double" w:sz="4" w:space="0" w:color="auto"/>
            </w:tcBorders>
            <w:vAlign w:val="center"/>
          </w:tcPr>
          <w:p w:rsidR="001D5121" w:rsidRPr="003D4E1A" w:rsidRDefault="001D5121" w:rsidP="00D56E3D">
            <w:pPr>
              <w:keepNext/>
              <w:jc w:val="center"/>
              <w:rPr>
                <w:rFonts w:ascii="Calibri" w:hAnsi="Calibri" w:cs="Arial"/>
                <w:sz w:val="20"/>
                <w:szCs w:val="20"/>
              </w:rPr>
            </w:pPr>
            <w:r w:rsidRPr="003D4E1A">
              <w:rPr>
                <w:rFonts w:ascii="Calibri" w:hAnsi="Calibri" w:cs="Arial"/>
                <w:sz w:val="20"/>
                <w:szCs w:val="20"/>
              </w:rPr>
              <w:t>Délais partiels</w:t>
            </w:r>
          </w:p>
        </w:tc>
        <w:tc>
          <w:tcPr>
            <w:tcW w:w="1909" w:type="dxa"/>
            <w:tcBorders>
              <w:top w:val="double" w:sz="4" w:space="0" w:color="auto"/>
            </w:tcBorders>
            <w:vAlign w:val="center"/>
          </w:tcPr>
          <w:p w:rsidR="001D5121" w:rsidRPr="003D4E1A" w:rsidRDefault="001D5121" w:rsidP="00D56E3D">
            <w:pPr>
              <w:keepNext/>
              <w:jc w:val="center"/>
              <w:rPr>
                <w:rFonts w:ascii="Calibri" w:hAnsi="Calibri" w:cs="Arial"/>
                <w:sz w:val="20"/>
                <w:szCs w:val="20"/>
              </w:rPr>
            </w:pPr>
            <w:r w:rsidRPr="003D4E1A">
              <w:rPr>
                <w:rFonts w:ascii="Calibri" w:hAnsi="Calibri" w:cs="Arial"/>
                <w:sz w:val="20"/>
                <w:szCs w:val="20"/>
              </w:rPr>
              <w:t>Délai cumulé global</w:t>
            </w:r>
          </w:p>
        </w:tc>
      </w:tr>
      <w:tr w:rsidR="001D5121" w:rsidRPr="003D4E1A" w:rsidTr="00383F4F">
        <w:trPr>
          <w:trHeight w:val="195"/>
        </w:trPr>
        <w:tc>
          <w:tcPr>
            <w:tcW w:w="5922" w:type="dxa"/>
            <w:vAlign w:val="center"/>
          </w:tcPr>
          <w:p w:rsidR="001D5121" w:rsidRPr="003D4E1A" w:rsidRDefault="001D5121" w:rsidP="00D56E3D">
            <w:pPr>
              <w:keepNext/>
              <w:spacing w:before="120"/>
              <w:rPr>
                <w:rFonts w:ascii="Calibri" w:hAnsi="Calibri" w:cs="Arial"/>
                <w:b/>
                <w:sz w:val="20"/>
                <w:szCs w:val="20"/>
              </w:rPr>
            </w:pPr>
            <w:r w:rsidRPr="003D4E1A">
              <w:rPr>
                <w:rFonts w:ascii="Calibri" w:hAnsi="Calibri" w:cs="Arial"/>
                <w:b/>
                <w:sz w:val="20"/>
                <w:szCs w:val="20"/>
              </w:rPr>
              <w:t>1. Dossier d’exécution (Programme d’exécution des travaux, Mémoire technique, Etudes, Plans de détail d’exécution)</w:t>
            </w:r>
          </w:p>
        </w:tc>
        <w:tc>
          <w:tcPr>
            <w:tcW w:w="1386" w:type="dxa"/>
            <w:vAlign w:val="center"/>
          </w:tcPr>
          <w:p w:rsidR="001D5121" w:rsidRPr="003D4E1A" w:rsidRDefault="001D5121" w:rsidP="00D56E3D">
            <w:pPr>
              <w:keepNext/>
              <w:jc w:val="center"/>
              <w:rPr>
                <w:rFonts w:ascii="Calibri" w:hAnsi="Calibri" w:cs="Arial"/>
                <w:sz w:val="20"/>
                <w:szCs w:val="20"/>
              </w:rPr>
            </w:pPr>
            <w:r w:rsidRPr="003D4E1A">
              <w:rPr>
                <w:rFonts w:ascii="Calibri" w:hAnsi="Calibri" w:cs="Arial"/>
                <w:sz w:val="20"/>
                <w:szCs w:val="20"/>
              </w:rPr>
              <w:t xml:space="preserve">3 mois </w:t>
            </w:r>
          </w:p>
        </w:tc>
        <w:tc>
          <w:tcPr>
            <w:tcW w:w="1909" w:type="dxa"/>
            <w:vAlign w:val="center"/>
          </w:tcPr>
          <w:p w:rsidR="001D5121" w:rsidRPr="003D4E1A" w:rsidRDefault="001D5121" w:rsidP="00D56E3D">
            <w:pPr>
              <w:keepNext/>
              <w:jc w:val="center"/>
              <w:rPr>
                <w:rFonts w:ascii="Calibri" w:hAnsi="Calibri" w:cs="Arial"/>
                <w:sz w:val="20"/>
                <w:szCs w:val="20"/>
              </w:rPr>
            </w:pPr>
            <w:r w:rsidRPr="003D4E1A">
              <w:rPr>
                <w:rFonts w:ascii="Calibri" w:hAnsi="Calibri" w:cs="Arial"/>
                <w:sz w:val="20"/>
                <w:szCs w:val="20"/>
              </w:rPr>
              <w:t>3 mois</w:t>
            </w:r>
          </w:p>
        </w:tc>
      </w:tr>
      <w:tr w:rsidR="001D5121" w:rsidRPr="003D4E1A" w:rsidTr="00383F4F">
        <w:trPr>
          <w:trHeight w:val="195"/>
        </w:trPr>
        <w:tc>
          <w:tcPr>
            <w:tcW w:w="5922" w:type="dxa"/>
            <w:vAlign w:val="center"/>
          </w:tcPr>
          <w:p w:rsidR="001D5121" w:rsidRPr="003D4E1A" w:rsidRDefault="001D5121" w:rsidP="00EA1CDE">
            <w:pPr>
              <w:keepNext/>
              <w:spacing w:before="120"/>
              <w:jc w:val="both"/>
              <w:rPr>
                <w:rFonts w:ascii="Calibri" w:hAnsi="Calibri" w:cs="Arial"/>
                <w:b/>
                <w:sz w:val="20"/>
                <w:szCs w:val="20"/>
              </w:rPr>
            </w:pPr>
            <w:r w:rsidRPr="003D4E1A">
              <w:rPr>
                <w:rFonts w:ascii="Calibri" w:hAnsi="Calibri" w:cs="Arial"/>
                <w:b/>
                <w:sz w:val="20"/>
                <w:szCs w:val="20"/>
              </w:rPr>
              <w:t>2. Travaux : Installation du chantier, Exécution des travaux de : implantation, piquetage des ouvrages, terrassements, canalisations (fabrication, essai en usine, transport et pose), équipements hydrauliques (fourniture, transport, pose et essai des tronçons), génie civil des ouvrages annexes, protection contre la corrosion…, essai général, rinçage, stérilisation</w:t>
            </w:r>
          </w:p>
        </w:tc>
        <w:tc>
          <w:tcPr>
            <w:tcW w:w="1386" w:type="dxa"/>
            <w:vAlign w:val="center"/>
          </w:tcPr>
          <w:p w:rsidR="001D5121" w:rsidRPr="003D4E1A" w:rsidRDefault="001D5121" w:rsidP="00D56E3D">
            <w:pPr>
              <w:keepNext/>
              <w:jc w:val="center"/>
              <w:rPr>
                <w:rFonts w:ascii="Calibri" w:hAnsi="Calibri" w:cs="Arial"/>
                <w:sz w:val="20"/>
                <w:szCs w:val="20"/>
              </w:rPr>
            </w:pPr>
            <w:r>
              <w:rPr>
                <w:rFonts w:ascii="Calibri" w:hAnsi="Calibri" w:cs="Arial"/>
                <w:sz w:val="20"/>
                <w:szCs w:val="20"/>
              </w:rPr>
              <w:t>21</w:t>
            </w:r>
            <w:r w:rsidRPr="003D4E1A">
              <w:rPr>
                <w:rFonts w:ascii="Calibri" w:hAnsi="Calibri" w:cs="Arial"/>
                <w:sz w:val="20"/>
                <w:szCs w:val="20"/>
              </w:rPr>
              <w:t xml:space="preserve"> mois </w:t>
            </w:r>
          </w:p>
        </w:tc>
        <w:tc>
          <w:tcPr>
            <w:tcW w:w="1909" w:type="dxa"/>
            <w:vAlign w:val="center"/>
          </w:tcPr>
          <w:p w:rsidR="001D5121" w:rsidRPr="003D4E1A" w:rsidRDefault="001D5121" w:rsidP="00D56E3D">
            <w:pPr>
              <w:keepNext/>
              <w:jc w:val="center"/>
              <w:rPr>
                <w:rFonts w:ascii="Calibri" w:hAnsi="Calibri" w:cs="Arial"/>
                <w:sz w:val="20"/>
                <w:szCs w:val="20"/>
              </w:rPr>
            </w:pPr>
            <w:r>
              <w:rPr>
                <w:rFonts w:ascii="Calibri" w:hAnsi="Calibri" w:cs="Arial"/>
                <w:sz w:val="20"/>
                <w:szCs w:val="20"/>
              </w:rPr>
              <w:t>24</w:t>
            </w:r>
            <w:r w:rsidRPr="003D4E1A">
              <w:rPr>
                <w:rFonts w:ascii="Calibri" w:hAnsi="Calibri" w:cs="Arial"/>
                <w:sz w:val="20"/>
                <w:szCs w:val="20"/>
              </w:rPr>
              <w:t xml:space="preserve"> mois</w:t>
            </w:r>
          </w:p>
        </w:tc>
      </w:tr>
      <w:tr w:rsidR="001D5121" w:rsidRPr="003D4E1A" w:rsidTr="00383F4F">
        <w:trPr>
          <w:trHeight w:val="195"/>
        </w:trPr>
        <w:tc>
          <w:tcPr>
            <w:tcW w:w="5922" w:type="dxa"/>
            <w:vAlign w:val="center"/>
          </w:tcPr>
          <w:p w:rsidR="001D5121" w:rsidRPr="003D4E1A" w:rsidRDefault="001D5121" w:rsidP="00D56E3D">
            <w:pPr>
              <w:keepNext/>
              <w:spacing w:before="120"/>
              <w:rPr>
                <w:rFonts w:ascii="Calibri" w:hAnsi="Calibri" w:cs="Arial"/>
                <w:b/>
                <w:sz w:val="20"/>
                <w:szCs w:val="20"/>
              </w:rPr>
            </w:pPr>
            <w:r w:rsidRPr="003D4E1A">
              <w:rPr>
                <w:rFonts w:ascii="Calibri" w:hAnsi="Calibri" w:cs="Arial"/>
                <w:b/>
                <w:sz w:val="20"/>
                <w:szCs w:val="20"/>
              </w:rPr>
              <w:t>3. Mise en service semi-industriel</w:t>
            </w:r>
          </w:p>
        </w:tc>
        <w:tc>
          <w:tcPr>
            <w:tcW w:w="1386" w:type="dxa"/>
            <w:vAlign w:val="center"/>
          </w:tcPr>
          <w:p w:rsidR="001D5121" w:rsidRPr="003D4E1A" w:rsidRDefault="001D5121" w:rsidP="00D56E3D">
            <w:pPr>
              <w:keepNext/>
              <w:jc w:val="center"/>
              <w:rPr>
                <w:rFonts w:ascii="Calibri" w:hAnsi="Calibri" w:cs="Arial"/>
                <w:sz w:val="20"/>
                <w:szCs w:val="20"/>
              </w:rPr>
            </w:pPr>
            <w:r w:rsidRPr="003D4E1A">
              <w:rPr>
                <w:rFonts w:ascii="Calibri" w:hAnsi="Calibri" w:cs="Arial"/>
                <w:sz w:val="20"/>
                <w:szCs w:val="20"/>
              </w:rPr>
              <w:t>1 mois</w:t>
            </w:r>
          </w:p>
        </w:tc>
        <w:tc>
          <w:tcPr>
            <w:tcW w:w="1909" w:type="dxa"/>
            <w:vAlign w:val="center"/>
          </w:tcPr>
          <w:p w:rsidR="001D5121" w:rsidRPr="003D4E1A" w:rsidRDefault="001D5121" w:rsidP="00D56E3D">
            <w:pPr>
              <w:keepNext/>
              <w:jc w:val="center"/>
              <w:rPr>
                <w:rFonts w:ascii="Calibri" w:hAnsi="Calibri" w:cs="Arial"/>
                <w:sz w:val="20"/>
                <w:szCs w:val="20"/>
              </w:rPr>
            </w:pPr>
            <w:r>
              <w:rPr>
                <w:rFonts w:ascii="Calibri" w:hAnsi="Calibri" w:cs="Arial"/>
                <w:sz w:val="20"/>
                <w:szCs w:val="20"/>
              </w:rPr>
              <w:t>25</w:t>
            </w:r>
            <w:r w:rsidRPr="003D4E1A">
              <w:rPr>
                <w:rFonts w:ascii="Calibri" w:hAnsi="Calibri" w:cs="Arial"/>
                <w:sz w:val="20"/>
                <w:szCs w:val="20"/>
              </w:rPr>
              <w:t xml:space="preserve"> mois</w:t>
            </w:r>
          </w:p>
        </w:tc>
      </w:tr>
      <w:tr w:rsidR="001D5121" w:rsidRPr="003D4E1A" w:rsidTr="00383F4F">
        <w:trPr>
          <w:trHeight w:val="195"/>
        </w:trPr>
        <w:tc>
          <w:tcPr>
            <w:tcW w:w="5922" w:type="dxa"/>
            <w:vAlign w:val="center"/>
          </w:tcPr>
          <w:p w:rsidR="001D5121" w:rsidRPr="003D4E1A" w:rsidRDefault="001D5121" w:rsidP="00D56E3D">
            <w:pPr>
              <w:keepNext/>
              <w:spacing w:before="120"/>
              <w:rPr>
                <w:rFonts w:ascii="Calibri" w:hAnsi="Calibri" w:cs="Arial"/>
                <w:b/>
                <w:sz w:val="20"/>
                <w:szCs w:val="20"/>
              </w:rPr>
            </w:pPr>
            <w:r w:rsidRPr="003D4E1A">
              <w:rPr>
                <w:rFonts w:ascii="Calibri" w:hAnsi="Calibri" w:cs="Arial"/>
                <w:b/>
                <w:sz w:val="20"/>
                <w:szCs w:val="20"/>
              </w:rPr>
              <w:t>4.  Mise en service industriel</w:t>
            </w:r>
          </w:p>
        </w:tc>
        <w:tc>
          <w:tcPr>
            <w:tcW w:w="1386" w:type="dxa"/>
            <w:vAlign w:val="center"/>
          </w:tcPr>
          <w:p w:rsidR="001D5121" w:rsidRPr="003D4E1A" w:rsidRDefault="001D5121" w:rsidP="00D56E3D">
            <w:pPr>
              <w:keepNext/>
              <w:jc w:val="center"/>
              <w:rPr>
                <w:rFonts w:ascii="Calibri" w:hAnsi="Calibri" w:cs="Arial"/>
                <w:sz w:val="20"/>
                <w:szCs w:val="20"/>
              </w:rPr>
            </w:pPr>
            <w:r w:rsidRPr="003D4E1A">
              <w:rPr>
                <w:rFonts w:ascii="Calibri" w:hAnsi="Calibri" w:cs="Arial"/>
                <w:sz w:val="20"/>
                <w:szCs w:val="20"/>
              </w:rPr>
              <w:t>2 mois</w:t>
            </w:r>
          </w:p>
        </w:tc>
        <w:tc>
          <w:tcPr>
            <w:tcW w:w="1909" w:type="dxa"/>
            <w:vAlign w:val="center"/>
          </w:tcPr>
          <w:p w:rsidR="001D5121" w:rsidRPr="003D4E1A" w:rsidRDefault="001D5121" w:rsidP="00D56E3D">
            <w:pPr>
              <w:keepNext/>
              <w:jc w:val="center"/>
              <w:rPr>
                <w:rFonts w:ascii="Calibri" w:hAnsi="Calibri" w:cs="Arial"/>
                <w:sz w:val="20"/>
                <w:szCs w:val="20"/>
              </w:rPr>
            </w:pPr>
            <w:r w:rsidRPr="003D4E1A">
              <w:rPr>
                <w:rFonts w:ascii="Calibri" w:hAnsi="Calibri" w:cs="Arial"/>
                <w:sz w:val="20"/>
                <w:szCs w:val="20"/>
              </w:rPr>
              <w:t>2</w:t>
            </w:r>
            <w:r>
              <w:rPr>
                <w:rFonts w:ascii="Calibri" w:hAnsi="Calibri" w:cs="Arial"/>
                <w:sz w:val="20"/>
                <w:szCs w:val="20"/>
              </w:rPr>
              <w:t>7</w:t>
            </w:r>
            <w:r w:rsidRPr="003D4E1A">
              <w:rPr>
                <w:rFonts w:ascii="Calibri" w:hAnsi="Calibri" w:cs="Arial"/>
                <w:sz w:val="20"/>
                <w:szCs w:val="20"/>
              </w:rPr>
              <w:t xml:space="preserve"> mois</w:t>
            </w:r>
          </w:p>
        </w:tc>
      </w:tr>
      <w:tr w:rsidR="001D5121" w:rsidRPr="003D4E1A" w:rsidTr="00383F4F">
        <w:trPr>
          <w:trHeight w:val="195"/>
        </w:trPr>
        <w:tc>
          <w:tcPr>
            <w:tcW w:w="5922" w:type="dxa"/>
            <w:vAlign w:val="center"/>
          </w:tcPr>
          <w:p w:rsidR="001D5121" w:rsidRPr="003D4E1A" w:rsidRDefault="001D5121" w:rsidP="00383F4F">
            <w:pPr>
              <w:keepNext/>
              <w:spacing w:before="120"/>
              <w:rPr>
                <w:rFonts w:ascii="Calibri" w:hAnsi="Calibri" w:cs="Arial"/>
                <w:b/>
                <w:sz w:val="20"/>
                <w:szCs w:val="20"/>
              </w:rPr>
            </w:pPr>
            <w:r w:rsidRPr="003D4E1A">
              <w:rPr>
                <w:rFonts w:ascii="Calibri" w:hAnsi="Calibri" w:cs="Arial"/>
                <w:b/>
                <w:sz w:val="20"/>
                <w:szCs w:val="20"/>
              </w:rPr>
              <w:t>5. Fourniture des dossiers de récolement</w:t>
            </w:r>
          </w:p>
        </w:tc>
        <w:tc>
          <w:tcPr>
            <w:tcW w:w="1386" w:type="dxa"/>
            <w:vAlign w:val="center"/>
          </w:tcPr>
          <w:p w:rsidR="001D5121" w:rsidRPr="003D4E1A" w:rsidRDefault="001D5121" w:rsidP="00AF7277">
            <w:pPr>
              <w:keepNext/>
              <w:jc w:val="center"/>
              <w:rPr>
                <w:rFonts w:ascii="Calibri" w:hAnsi="Calibri" w:cs="Arial"/>
                <w:sz w:val="20"/>
                <w:szCs w:val="20"/>
              </w:rPr>
            </w:pPr>
            <w:r w:rsidRPr="003D4E1A">
              <w:rPr>
                <w:rFonts w:ascii="Calibri" w:hAnsi="Calibri" w:cs="Arial"/>
                <w:sz w:val="20"/>
                <w:szCs w:val="20"/>
              </w:rPr>
              <w:t>1 mois</w:t>
            </w:r>
          </w:p>
        </w:tc>
        <w:tc>
          <w:tcPr>
            <w:tcW w:w="1909" w:type="dxa"/>
            <w:vAlign w:val="center"/>
          </w:tcPr>
          <w:p w:rsidR="001D5121" w:rsidRPr="003D4E1A" w:rsidRDefault="001D5121" w:rsidP="00D56E3D">
            <w:pPr>
              <w:keepNext/>
              <w:jc w:val="center"/>
              <w:rPr>
                <w:rFonts w:ascii="Calibri" w:hAnsi="Calibri" w:cs="Arial"/>
                <w:sz w:val="20"/>
                <w:szCs w:val="20"/>
              </w:rPr>
            </w:pPr>
            <w:r w:rsidRPr="003D4E1A">
              <w:rPr>
                <w:rFonts w:ascii="Calibri" w:hAnsi="Calibri" w:cs="Arial"/>
                <w:sz w:val="20"/>
                <w:szCs w:val="20"/>
              </w:rPr>
              <w:t>2</w:t>
            </w:r>
            <w:r>
              <w:rPr>
                <w:rFonts w:ascii="Calibri" w:hAnsi="Calibri" w:cs="Arial"/>
                <w:sz w:val="20"/>
                <w:szCs w:val="20"/>
              </w:rPr>
              <w:t>7</w:t>
            </w:r>
            <w:r w:rsidRPr="003D4E1A">
              <w:rPr>
                <w:rFonts w:ascii="Calibri" w:hAnsi="Calibri" w:cs="Arial"/>
                <w:sz w:val="20"/>
                <w:szCs w:val="20"/>
              </w:rPr>
              <w:t xml:space="preserve"> mois</w:t>
            </w:r>
          </w:p>
        </w:tc>
      </w:tr>
      <w:tr w:rsidR="001D5121" w:rsidRPr="003D4E1A" w:rsidTr="00383F4F">
        <w:trPr>
          <w:trHeight w:val="195"/>
        </w:trPr>
        <w:tc>
          <w:tcPr>
            <w:tcW w:w="5922" w:type="dxa"/>
            <w:tcBorders>
              <w:bottom w:val="double" w:sz="4" w:space="0" w:color="auto"/>
            </w:tcBorders>
            <w:vAlign w:val="center"/>
          </w:tcPr>
          <w:p w:rsidR="001D5121" w:rsidRPr="003D4E1A" w:rsidRDefault="001D5121" w:rsidP="00D56E3D">
            <w:pPr>
              <w:keepNext/>
              <w:spacing w:before="120"/>
              <w:rPr>
                <w:rFonts w:ascii="Calibri" w:hAnsi="Calibri" w:cs="Arial"/>
                <w:b/>
                <w:sz w:val="20"/>
                <w:szCs w:val="20"/>
              </w:rPr>
            </w:pPr>
            <w:r w:rsidRPr="003D4E1A">
              <w:rPr>
                <w:rFonts w:ascii="Calibri" w:hAnsi="Calibri" w:cs="Arial"/>
                <w:b/>
                <w:sz w:val="20"/>
                <w:szCs w:val="20"/>
              </w:rPr>
              <w:t>6. Repliement du chantier et remise en état des lieux</w:t>
            </w:r>
          </w:p>
        </w:tc>
        <w:tc>
          <w:tcPr>
            <w:tcW w:w="1386" w:type="dxa"/>
            <w:tcBorders>
              <w:bottom w:val="double" w:sz="4" w:space="0" w:color="auto"/>
            </w:tcBorders>
            <w:vAlign w:val="center"/>
          </w:tcPr>
          <w:p w:rsidR="001D5121" w:rsidRPr="003D4E1A" w:rsidRDefault="001D5121" w:rsidP="00D56E3D">
            <w:pPr>
              <w:keepNext/>
              <w:jc w:val="center"/>
              <w:rPr>
                <w:rFonts w:ascii="Calibri" w:hAnsi="Calibri" w:cs="Arial"/>
                <w:sz w:val="20"/>
                <w:szCs w:val="20"/>
              </w:rPr>
            </w:pPr>
            <w:r w:rsidRPr="003D4E1A">
              <w:rPr>
                <w:rFonts w:ascii="Calibri" w:hAnsi="Calibri" w:cs="Arial"/>
                <w:sz w:val="20"/>
                <w:szCs w:val="20"/>
              </w:rPr>
              <w:t>1 mois</w:t>
            </w:r>
          </w:p>
        </w:tc>
        <w:tc>
          <w:tcPr>
            <w:tcW w:w="1909" w:type="dxa"/>
            <w:tcBorders>
              <w:bottom w:val="double" w:sz="4" w:space="0" w:color="auto"/>
            </w:tcBorders>
            <w:vAlign w:val="center"/>
          </w:tcPr>
          <w:p w:rsidR="001D5121" w:rsidRPr="003D4E1A" w:rsidRDefault="001D5121" w:rsidP="00D56E3D">
            <w:pPr>
              <w:keepNext/>
              <w:jc w:val="center"/>
              <w:rPr>
                <w:rFonts w:ascii="Calibri" w:hAnsi="Calibri" w:cs="Arial"/>
                <w:sz w:val="20"/>
                <w:szCs w:val="20"/>
              </w:rPr>
            </w:pPr>
            <w:r w:rsidRPr="003D4E1A">
              <w:rPr>
                <w:rFonts w:ascii="Calibri" w:hAnsi="Calibri" w:cs="Arial"/>
                <w:sz w:val="20"/>
                <w:szCs w:val="20"/>
              </w:rPr>
              <w:t>2</w:t>
            </w:r>
            <w:r>
              <w:rPr>
                <w:rFonts w:ascii="Calibri" w:hAnsi="Calibri" w:cs="Arial"/>
                <w:sz w:val="20"/>
                <w:szCs w:val="20"/>
              </w:rPr>
              <w:t>7</w:t>
            </w:r>
            <w:r w:rsidRPr="003D4E1A">
              <w:rPr>
                <w:rFonts w:ascii="Calibri" w:hAnsi="Calibri" w:cs="Arial"/>
                <w:sz w:val="20"/>
                <w:szCs w:val="20"/>
              </w:rPr>
              <w:t xml:space="preserve"> mois</w:t>
            </w:r>
          </w:p>
        </w:tc>
      </w:tr>
    </w:tbl>
    <w:p w:rsidR="001D5121" w:rsidRPr="003D4E1A" w:rsidRDefault="001D5121" w:rsidP="00383F4F">
      <w:pPr>
        <w:tabs>
          <w:tab w:val="left" w:pos="0"/>
        </w:tabs>
        <w:suppressAutoHyphens/>
        <w:jc w:val="both"/>
        <w:rPr>
          <w:rFonts w:ascii="Calibri" w:hAnsi="Calibri" w:cs="Arial"/>
          <w:spacing w:val="-3"/>
          <w:sz w:val="22"/>
          <w:szCs w:val="22"/>
        </w:rPr>
      </w:pPr>
      <w:bookmarkStart w:id="84" w:name="_Toc358977844"/>
      <w:r w:rsidRPr="003D4E1A">
        <w:rPr>
          <w:rFonts w:ascii="Calibri" w:hAnsi="Calibri" w:cs="Calibri"/>
          <w:sz w:val="20"/>
          <w:szCs w:val="20"/>
        </w:rPr>
        <w:br w:type="textWrapping" w:clear="all"/>
      </w:r>
      <w:bookmarkStart w:id="85" w:name="_Toc358977846"/>
      <w:bookmarkEnd w:id="84"/>
      <w:r w:rsidRPr="003D4E1A">
        <w:rPr>
          <w:rFonts w:ascii="Calibri" w:hAnsi="Calibri" w:cs="Arial"/>
          <w:spacing w:val="-3"/>
          <w:sz w:val="22"/>
          <w:szCs w:val="22"/>
        </w:rPr>
        <w:t>A l’exception des délais partiels des phases 3 et 4 (Mise en service semi-industriel et Mise en service industriel) qui sont obligatoires, les autres délais sont donnés à titre indicatif.</w:t>
      </w:r>
    </w:p>
    <w:p w:rsidR="001D5121" w:rsidRPr="003D4E1A" w:rsidRDefault="001D5121" w:rsidP="00285FB2">
      <w:pPr>
        <w:tabs>
          <w:tab w:val="left" w:pos="0"/>
        </w:tabs>
        <w:suppressAutoHyphens/>
        <w:jc w:val="both"/>
        <w:rPr>
          <w:rFonts w:ascii="Calibri" w:hAnsi="Calibri" w:cs="Arial"/>
          <w:spacing w:val="-3"/>
          <w:sz w:val="22"/>
          <w:szCs w:val="22"/>
        </w:rPr>
      </w:pPr>
      <w:r w:rsidRPr="003D4E1A">
        <w:rPr>
          <w:rFonts w:ascii="Calibri" w:hAnsi="Calibri" w:cs="Arial"/>
          <w:spacing w:val="-3"/>
          <w:sz w:val="22"/>
          <w:szCs w:val="22"/>
        </w:rPr>
        <w:t xml:space="preserve"> Le délai global de réalisation du projet ne doit pas dépasser Vingt- </w:t>
      </w:r>
      <w:r>
        <w:rPr>
          <w:rFonts w:ascii="Calibri" w:hAnsi="Calibri" w:cs="Arial"/>
          <w:spacing w:val="-3"/>
          <w:sz w:val="22"/>
          <w:szCs w:val="22"/>
        </w:rPr>
        <w:t>Sept</w:t>
      </w:r>
      <w:r w:rsidRPr="003D4E1A">
        <w:rPr>
          <w:rFonts w:ascii="Calibri" w:hAnsi="Calibri" w:cs="Arial"/>
          <w:spacing w:val="-3"/>
          <w:sz w:val="22"/>
          <w:szCs w:val="22"/>
        </w:rPr>
        <w:t xml:space="preserve"> (2</w:t>
      </w:r>
      <w:r>
        <w:rPr>
          <w:rFonts w:ascii="Calibri" w:hAnsi="Calibri" w:cs="Arial"/>
          <w:spacing w:val="-3"/>
          <w:sz w:val="22"/>
          <w:szCs w:val="22"/>
        </w:rPr>
        <w:t>7</w:t>
      </w:r>
      <w:r w:rsidRPr="003D4E1A">
        <w:rPr>
          <w:rFonts w:ascii="Calibri" w:hAnsi="Calibri" w:cs="Arial"/>
          <w:spacing w:val="-3"/>
          <w:sz w:val="22"/>
          <w:szCs w:val="22"/>
        </w:rPr>
        <w:t>) mois et est réputé tenir compte des aléas techniques de fabrication, de montage de matériel et d’exécution des travaux.</w:t>
      </w:r>
    </w:p>
    <w:p w:rsidR="001D5121" w:rsidRPr="003D4E1A" w:rsidRDefault="001D5121" w:rsidP="00590EA9">
      <w:pPr>
        <w:pStyle w:val="Heading2"/>
      </w:pPr>
      <w:bookmarkStart w:id="86" w:name="_Toc379367177"/>
      <w:r w:rsidRPr="003D4E1A">
        <w:t>10.3 Délai de remise des documents à l’ONEE</w:t>
      </w:r>
      <w:bookmarkEnd w:id="85"/>
      <w:bookmarkEnd w:id="86"/>
    </w:p>
    <w:p w:rsidR="001D5121" w:rsidRPr="003D4E1A" w:rsidRDefault="001D5121" w:rsidP="00383F4F">
      <w:pPr>
        <w:pStyle w:val="Heading4"/>
        <w:keepNext w:val="0"/>
        <w:numPr>
          <w:ilvl w:val="3"/>
          <w:numId w:val="19"/>
        </w:numPr>
        <w:jc w:val="left"/>
        <w:rPr>
          <w:rFonts w:ascii="Calibri" w:hAnsi="Calibri" w:cs="Calibri"/>
          <w:sz w:val="22"/>
          <w:szCs w:val="22"/>
        </w:rPr>
      </w:pPr>
      <w:r w:rsidRPr="003D4E1A">
        <w:rPr>
          <w:rFonts w:ascii="Calibri" w:hAnsi="Calibri" w:cs="Calibri"/>
          <w:sz w:val="22"/>
          <w:szCs w:val="22"/>
        </w:rPr>
        <w:t>10.3.1. Le programme d’exécution des travaux et le mémoire technique :</w:t>
      </w:r>
    </w:p>
    <w:p w:rsidR="001D5121" w:rsidRPr="003D4E1A" w:rsidRDefault="001D5121" w:rsidP="00383F4F">
      <w:pPr>
        <w:spacing w:before="120"/>
        <w:ind w:left="1440"/>
        <w:jc w:val="both"/>
        <w:rPr>
          <w:rFonts w:ascii="Calibri" w:hAnsi="Calibri" w:cs="Calibri"/>
          <w:sz w:val="22"/>
          <w:szCs w:val="28"/>
        </w:rPr>
      </w:pPr>
      <w:r w:rsidRPr="003D4E1A">
        <w:rPr>
          <w:rFonts w:ascii="Calibri" w:hAnsi="Calibri" w:cs="Calibri"/>
          <w:sz w:val="22"/>
          <w:szCs w:val="28"/>
        </w:rPr>
        <w:t>L’entrepreneur doit remettre au maître d’œuvre le programme d’exécution des travaux et le mémoire technique tels que définis dans l’article 31 du CCAFG au plus tard quinze (15) jours avant la fin de la durée de la phase de préparation</w:t>
      </w:r>
    </w:p>
    <w:p w:rsidR="001D5121" w:rsidRPr="003D4E1A" w:rsidRDefault="001D5121" w:rsidP="00485A8F">
      <w:pPr>
        <w:pStyle w:val="Heading4"/>
        <w:keepNext w:val="0"/>
        <w:numPr>
          <w:ilvl w:val="3"/>
          <w:numId w:val="19"/>
        </w:numPr>
        <w:spacing w:before="240"/>
        <w:ind w:left="862" w:hanging="862"/>
        <w:jc w:val="left"/>
        <w:rPr>
          <w:rFonts w:ascii="Calibri" w:hAnsi="Calibri" w:cs="Calibri"/>
          <w:sz w:val="22"/>
          <w:szCs w:val="22"/>
        </w:rPr>
      </w:pPr>
      <w:r w:rsidRPr="003D4E1A">
        <w:rPr>
          <w:rFonts w:ascii="Calibri" w:hAnsi="Calibri" w:cs="Calibri"/>
          <w:sz w:val="22"/>
          <w:szCs w:val="22"/>
        </w:rPr>
        <w:t>10.3.2. Les études, dessins d’exécution et autres documents techniques</w:t>
      </w:r>
    </w:p>
    <w:p w:rsidR="001D5121" w:rsidRPr="003D4E1A" w:rsidRDefault="001D5121" w:rsidP="00383F4F">
      <w:pPr>
        <w:spacing w:before="120"/>
        <w:ind w:left="1440"/>
        <w:jc w:val="both"/>
        <w:rPr>
          <w:rFonts w:ascii="Calibri" w:hAnsi="Calibri" w:cs="Calibri"/>
          <w:sz w:val="22"/>
          <w:szCs w:val="28"/>
        </w:rPr>
      </w:pPr>
      <w:r w:rsidRPr="003D4E1A">
        <w:rPr>
          <w:rFonts w:ascii="Calibri" w:hAnsi="Calibri" w:cs="Calibri"/>
          <w:sz w:val="22"/>
          <w:szCs w:val="28"/>
        </w:rPr>
        <w:t>L’Entrepreneur doit remettre au maître d’œuvre l’ensemble des plans et notes justificatives à sa charge à soumettre au visa “bon pour exécution” du maître d’œuvre ainsi que l’ensemble des documents techniques tels que définis dans l’article 31 du CCAFG dans un délai de 15 jours avant la fin de la durée de la période de préparation.</w:t>
      </w:r>
    </w:p>
    <w:p w:rsidR="001D5121" w:rsidRPr="003D4E1A" w:rsidRDefault="001D5121" w:rsidP="00590EA9">
      <w:pPr>
        <w:pStyle w:val="Heading2"/>
      </w:pPr>
      <w:bookmarkStart w:id="87" w:name="_Toc379367178"/>
      <w:bookmarkStart w:id="88" w:name="_Toc358977848"/>
      <w:r w:rsidRPr="003D4E1A">
        <w:t xml:space="preserve">Article </w:t>
      </w:r>
      <w:r w:rsidRPr="003D4E1A">
        <w:rPr>
          <w:rFonts w:cs="Arial"/>
          <w:szCs w:val="22"/>
        </w:rPr>
        <w:t>12.</w:t>
      </w:r>
      <w:r w:rsidRPr="003D4E1A">
        <w:rPr>
          <w:color w:val="FF0000"/>
        </w:rPr>
        <w:tab/>
      </w:r>
      <w:r w:rsidRPr="003D4E1A">
        <w:t>Interruptions des travaux</w:t>
      </w:r>
      <w:bookmarkEnd w:id="87"/>
      <w:r w:rsidRPr="003D4E1A">
        <w:t xml:space="preserve"> </w:t>
      </w:r>
      <w:bookmarkEnd w:id="88"/>
    </w:p>
    <w:p w:rsidR="001D5121" w:rsidRPr="003D4E1A" w:rsidRDefault="001D5121">
      <w:pPr>
        <w:pStyle w:val="BodyText"/>
        <w:keepNext/>
        <w:rPr>
          <w:rFonts w:ascii="Calibri" w:hAnsi="Calibri" w:cs="Calibri"/>
          <w:b/>
          <w:bCs/>
          <w:i/>
          <w:iCs/>
          <w:color w:val="0000FF"/>
          <w:sz w:val="22"/>
          <w:szCs w:val="22"/>
        </w:rPr>
      </w:pPr>
      <w:r w:rsidRPr="003D4E1A">
        <w:rPr>
          <w:rFonts w:ascii="Calibri" w:hAnsi="Calibri" w:cs="Calibri"/>
          <w:b/>
          <w:bCs/>
          <w:i/>
          <w:iCs/>
          <w:color w:val="0000FF"/>
          <w:sz w:val="22"/>
          <w:szCs w:val="22"/>
        </w:rPr>
        <w:t>12.2 Interruptions pour intempéries</w:t>
      </w:r>
    </w:p>
    <w:p w:rsidR="001D5121" w:rsidRPr="003D4E1A" w:rsidRDefault="001D5121" w:rsidP="007355CE">
      <w:pPr>
        <w:spacing w:after="240"/>
        <w:ind w:left="284"/>
        <w:jc w:val="both"/>
        <w:rPr>
          <w:rFonts w:ascii="Calibri" w:hAnsi="Calibri" w:cs="Arial"/>
          <w:szCs w:val="22"/>
        </w:rPr>
      </w:pPr>
      <w:r w:rsidRPr="003D4E1A">
        <w:rPr>
          <w:rFonts w:ascii="Calibri" w:hAnsi="Calibri" w:cs="Arial"/>
          <w:noProof/>
          <w:sz w:val="22"/>
          <w:szCs w:val="22"/>
          <w:lang w:eastAsia="en-US"/>
        </w:rPr>
        <w:t>Vu la nature des prestations, aucune prolongation du délai d’exécution pour motif d’intempéries ou motifs similaires ne peut être accordée.Et les journées d’intempéries sont incluses dans le délai contractuel global du marché.</w:t>
      </w:r>
    </w:p>
    <w:p w:rsidR="001D5121" w:rsidRPr="003D4E1A" w:rsidRDefault="001D5121" w:rsidP="00590EA9">
      <w:pPr>
        <w:pStyle w:val="Heading2"/>
      </w:pPr>
      <w:bookmarkStart w:id="89" w:name="_Toc358977849"/>
      <w:bookmarkStart w:id="90" w:name="_Toc379367179"/>
      <w:r w:rsidRPr="003D4E1A">
        <w:t>Article 13.</w:t>
      </w:r>
      <w:r w:rsidRPr="003D4E1A">
        <w:rPr>
          <w:color w:val="FF0000"/>
        </w:rPr>
        <w:tab/>
      </w:r>
      <w:r w:rsidRPr="003D4E1A">
        <w:rPr>
          <w:color w:val="FF0000"/>
        </w:rPr>
        <w:tab/>
      </w:r>
      <w:r w:rsidRPr="003D4E1A">
        <w:t>Pénalités de retard</w:t>
      </w:r>
      <w:bookmarkEnd w:id="89"/>
      <w:bookmarkEnd w:id="90"/>
    </w:p>
    <w:p w:rsidR="001D5121" w:rsidRPr="003D4E1A" w:rsidRDefault="001D5121" w:rsidP="00EB3008">
      <w:pPr>
        <w:spacing w:after="120"/>
        <w:rPr>
          <w:rFonts w:ascii="Calibri" w:hAnsi="Calibri" w:cs="Arial"/>
          <w:sz w:val="22"/>
          <w:szCs w:val="20"/>
        </w:rPr>
      </w:pPr>
      <w:r w:rsidRPr="003D4E1A">
        <w:rPr>
          <w:rFonts w:ascii="Calibri" w:hAnsi="Calibri" w:cs="Arial"/>
          <w:sz w:val="22"/>
          <w:szCs w:val="20"/>
        </w:rPr>
        <w:t>Les dispositions de l’article 13 du CCAFG s’appliquent.</w:t>
      </w:r>
    </w:p>
    <w:p w:rsidR="001D5121" w:rsidRPr="003D4E1A" w:rsidRDefault="001D5121" w:rsidP="00EB3008">
      <w:pPr>
        <w:pStyle w:val="Heading2"/>
      </w:pPr>
      <w:bookmarkStart w:id="91" w:name="_Toc358977850"/>
      <w:bookmarkStart w:id="92" w:name="_Toc379367180"/>
      <w:r w:rsidRPr="003D4E1A">
        <w:t xml:space="preserve">13.1 </w:t>
      </w:r>
      <w:r w:rsidRPr="003D4E1A">
        <w:tab/>
        <w:t>Pénalités pour retard dans l’exécution des travaux, ou dans la remise des dossiers d’exécution, ou dans la mise en service industrielle :</w:t>
      </w:r>
      <w:bookmarkEnd w:id="91"/>
      <w:bookmarkEnd w:id="92"/>
    </w:p>
    <w:p w:rsidR="001D5121" w:rsidRPr="003D4E1A" w:rsidRDefault="001D5121" w:rsidP="00EB3008">
      <w:pPr>
        <w:spacing w:before="120"/>
        <w:ind w:left="720"/>
        <w:jc w:val="both"/>
        <w:rPr>
          <w:rFonts w:ascii="Calibri" w:hAnsi="Calibri" w:cs="Arial"/>
          <w:color w:val="333333"/>
          <w:sz w:val="22"/>
        </w:rPr>
      </w:pPr>
      <w:r w:rsidRPr="003D4E1A">
        <w:rPr>
          <w:rFonts w:ascii="Calibri" w:hAnsi="Calibri" w:cs="Arial"/>
          <w:sz w:val="22"/>
        </w:rPr>
        <w:t xml:space="preserve">La pénalité est fixée à </w:t>
      </w:r>
      <w:r w:rsidRPr="003D4E1A">
        <w:rPr>
          <w:rFonts w:ascii="Calibri" w:hAnsi="Calibri" w:cs="Arial"/>
          <w:iCs/>
          <w:color w:val="0000FF"/>
          <w:sz w:val="22"/>
        </w:rPr>
        <w:t>un millième (1/1000)</w:t>
      </w:r>
      <w:r w:rsidRPr="003D4E1A">
        <w:rPr>
          <w:rFonts w:ascii="Calibri" w:hAnsi="Calibri" w:cs="Arial"/>
          <w:i/>
          <w:color w:val="0000FF"/>
          <w:sz w:val="22"/>
        </w:rPr>
        <w:t xml:space="preserve"> </w:t>
      </w:r>
      <w:r w:rsidRPr="003D4E1A">
        <w:rPr>
          <w:rFonts w:ascii="Calibri" w:hAnsi="Calibri" w:cs="Arial"/>
          <w:sz w:val="22"/>
        </w:rPr>
        <w:t>du</w:t>
      </w:r>
      <w:r w:rsidRPr="003D4E1A">
        <w:rPr>
          <w:rFonts w:ascii="Calibri" w:hAnsi="Calibri" w:cs="Arial"/>
          <w:i/>
          <w:color w:val="0000FF"/>
          <w:sz w:val="22"/>
        </w:rPr>
        <w:t xml:space="preserve"> </w:t>
      </w:r>
      <w:r w:rsidRPr="003D4E1A">
        <w:rPr>
          <w:rFonts w:ascii="Calibri" w:hAnsi="Calibri" w:cs="Arial"/>
          <w:sz w:val="22"/>
        </w:rPr>
        <w:t xml:space="preserve">montant initial du marché éventuellement modifié ou complété par les avenants intervenus, </w:t>
      </w:r>
      <w:r w:rsidRPr="003D4E1A">
        <w:rPr>
          <w:rFonts w:ascii="Calibri" w:hAnsi="Calibri" w:cs="Arial"/>
          <w:color w:val="333333"/>
          <w:sz w:val="22"/>
        </w:rPr>
        <w:t>par jour calendaire de retard.</w:t>
      </w:r>
    </w:p>
    <w:p w:rsidR="001D5121" w:rsidRPr="003D4E1A" w:rsidRDefault="001D5121" w:rsidP="00EB3008">
      <w:pPr>
        <w:pStyle w:val="Heading2"/>
      </w:pPr>
      <w:bookmarkStart w:id="93" w:name="_Toc195590530"/>
      <w:bookmarkStart w:id="94" w:name="_Toc317493325"/>
      <w:bookmarkStart w:id="95" w:name="_Toc379367181"/>
      <w:r w:rsidRPr="003D4E1A">
        <w:t>Article 13bis - Pénalités techniques</w:t>
      </w:r>
      <w:bookmarkEnd w:id="93"/>
      <w:r w:rsidRPr="003D4E1A">
        <w:t> :</w:t>
      </w:r>
      <w:bookmarkEnd w:id="94"/>
      <w:bookmarkEnd w:id="95"/>
    </w:p>
    <w:p w:rsidR="001D5121" w:rsidRPr="003D4E1A" w:rsidRDefault="001D5121" w:rsidP="00EB3008">
      <w:pPr>
        <w:pStyle w:val="BodyText"/>
        <w:ind w:left="720"/>
        <w:jc w:val="both"/>
        <w:rPr>
          <w:rFonts w:ascii="Calibri" w:hAnsi="Calibri" w:cs="Calibri"/>
          <w:sz w:val="22"/>
          <w:szCs w:val="18"/>
        </w:rPr>
      </w:pPr>
      <w:r w:rsidRPr="003D4E1A">
        <w:rPr>
          <w:rFonts w:ascii="Calibri" w:hAnsi="Calibri" w:cs="Calibri"/>
          <w:sz w:val="22"/>
          <w:szCs w:val="18"/>
        </w:rPr>
        <w:t xml:space="preserve">Pour les pénalités, en relation avec les garanties techniques, il sera fait application des dispositions </w:t>
      </w:r>
      <w:bookmarkStart w:id="96" w:name="_Toc233618258"/>
      <w:bookmarkStart w:id="97" w:name="_Toc272611922"/>
      <w:r w:rsidRPr="003D4E1A">
        <w:rPr>
          <w:rFonts w:ascii="Calibri" w:hAnsi="Calibri" w:cs="Calibri"/>
          <w:sz w:val="22"/>
          <w:szCs w:val="18"/>
        </w:rPr>
        <w:t xml:space="preserve">de l’article </w:t>
      </w:r>
      <w:bookmarkEnd w:id="96"/>
      <w:bookmarkEnd w:id="97"/>
      <w:r w:rsidRPr="003D4E1A">
        <w:rPr>
          <w:rFonts w:ascii="Calibri" w:hAnsi="Calibri" w:cs="Calibri"/>
          <w:sz w:val="22"/>
          <w:szCs w:val="18"/>
        </w:rPr>
        <w:t>II.A.9 «  Pénalités Techniques » du Cahier des Clauses Techniques Particulières et de l’article 40.1 du chapitre 4- paragraphe « Tolérances sur les valeurs garanties- pénalités- refus » du cahier des clauses techniques générales (CCTG) relatives aux équipements hydro-électromécaniques et électriques.</w:t>
      </w:r>
    </w:p>
    <w:p w:rsidR="001D5121" w:rsidRPr="003D4E1A" w:rsidRDefault="001D5121" w:rsidP="00EB3008">
      <w:pPr>
        <w:pStyle w:val="BodyText"/>
        <w:ind w:left="720"/>
        <w:jc w:val="both"/>
        <w:rPr>
          <w:rFonts w:ascii="Calibri" w:hAnsi="Calibri" w:cs="Calibri"/>
          <w:sz w:val="22"/>
          <w:szCs w:val="18"/>
        </w:rPr>
      </w:pPr>
      <w:r w:rsidRPr="003D4E1A">
        <w:rPr>
          <w:rFonts w:ascii="Calibri" w:hAnsi="Calibri" w:cs="Calibri"/>
          <w:sz w:val="22"/>
          <w:szCs w:val="18"/>
        </w:rPr>
        <w:t>Ces pénalités s'entendent après que les résultats aient fait l'objet des constatations contradictoires et que l'Entrepreneur ait été dans l'impossibilité de les améliorer.</w:t>
      </w:r>
    </w:p>
    <w:p w:rsidR="001D5121" w:rsidRPr="003D4E1A" w:rsidRDefault="001D5121" w:rsidP="00EB3008">
      <w:pPr>
        <w:pStyle w:val="Heading2"/>
      </w:pPr>
      <w:bookmarkStart w:id="98" w:name="_Toc358977872"/>
      <w:bookmarkStart w:id="99" w:name="_Toc379367182"/>
      <w:r w:rsidRPr="003D4E1A">
        <w:t>CHAPITRE III  -  EXECUTION DES TRAVAUX</w:t>
      </w:r>
      <w:bookmarkEnd w:id="98"/>
      <w:bookmarkEnd w:id="99"/>
    </w:p>
    <w:p w:rsidR="001D5121" w:rsidRPr="003D4E1A" w:rsidRDefault="001D5121" w:rsidP="00EB3008">
      <w:pPr>
        <w:pStyle w:val="Heading2"/>
      </w:pPr>
      <w:bookmarkStart w:id="100" w:name="_Toc358977874"/>
      <w:bookmarkStart w:id="101" w:name="_Toc379367183"/>
      <w:r w:rsidRPr="003D4E1A">
        <w:t xml:space="preserve">Article 31. </w:t>
      </w:r>
      <w:r w:rsidRPr="003D4E1A">
        <w:tab/>
        <w:t>Dossier d’exécution</w:t>
      </w:r>
      <w:bookmarkEnd w:id="100"/>
      <w:bookmarkEnd w:id="101"/>
    </w:p>
    <w:p w:rsidR="001D5121" w:rsidRPr="003D4E1A" w:rsidRDefault="001D5121" w:rsidP="00EB3008">
      <w:pPr>
        <w:pStyle w:val="Heading2"/>
      </w:pPr>
      <w:bookmarkStart w:id="102" w:name="_Toc358977875"/>
      <w:bookmarkStart w:id="103" w:name="_Toc379367184"/>
      <w:r w:rsidRPr="003D4E1A">
        <w:t>31.1</w:t>
      </w:r>
      <w:r w:rsidRPr="003D4E1A">
        <w:tab/>
        <w:t xml:space="preserve"> Programme d’exécution des travaux</w:t>
      </w:r>
      <w:bookmarkEnd w:id="102"/>
      <w:bookmarkEnd w:id="103"/>
      <w:r w:rsidRPr="003D4E1A">
        <w:t xml:space="preserve"> </w:t>
      </w:r>
    </w:p>
    <w:p w:rsidR="001D5121" w:rsidRPr="003D4E1A" w:rsidRDefault="001D5121" w:rsidP="008D424A">
      <w:pPr>
        <w:pStyle w:val="BodyText"/>
        <w:spacing w:after="0"/>
        <w:ind w:left="720"/>
        <w:jc w:val="both"/>
        <w:rPr>
          <w:rFonts w:ascii="Calibri" w:hAnsi="Calibri" w:cs="Calibri"/>
          <w:sz w:val="22"/>
          <w:szCs w:val="18"/>
        </w:rPr>
      </w:pPr>
      <w:r w:rsidRPr="003D4E1A">
        <w:rPr>
          <w:rFonts w:ascii="Calibri" w:hAnsi="Calibri" w:cs="Calibri"/>
          <w:sz w:val="22"/>
          <w:szCs w:val="18"/>
        </w:rPr>
        <w:t>L’entrepreneur doit remettre au maître d’œuvre le programme d’exécution des travaux tel que définis dans l’article 31 du CCAFG au plus tard quinze (15) jours avant la fin de la durée de la phase de préparation.</w:t>
      </w:r>
    </w:p>
    <w:p w:rsidR="001D5121" w:rsidRPr="003D4E1A" w:rsidRDefault="001D5121" w:rsidP="008D424A">
      <w:pPr>
        <w:pStyle w:val="BodyText"/>
        <w:spacing w:after="0"/>
        <w:ind w:left="720"/>
        <w:jc w:val="both"/>
        <w:rPr>
          <w:rFonts w:ascii="Calibri" w:hAnsi="Calibri" w:cs="Calibri"/>
          <w:sz w:val="22"/>
          <w:szCs w:val="18"/>
        </w:rPr>
      </w:pPr>
      <w:bookmarkStart w:id="104" w:name="_Toc358977876"/>
      <w:r w:rsidRPr="003D4E1A">
        <w:rPr>
          <w:rFonts w:ascii="Calibri" w:hAnsi="Calibri" w:cs="Calibri"/>
          <w:sz w:val="22"/>
          <w:szCs w:val="18"/>
        </w:rPr>
        <w:t>L’Entrepreneur doit remettre au maître d’œuvre les plans et notes justificatives à sa charge à soumettre au visa “bon pour exécution” du maître d’œuvre ainsi que l’ensemble des documents techniques tels que définis dans l’article 31 du CCAFG dans les délais suivants :</w:t>
      </w:r>
    </w:p>
    <w:p w:rsidR="001D5121" w:rsidRPr="003D4E1A" w:rsidRDefault="001D5121" w:rsidP="008D424A">
      <w:pPr>
        <w:widowControl w:val="0"/>
        <w:numPr>
          <w:ilvl w:val="0"/>
          <w:numId w:val="27"/>
        </w:numPr>
        <w:jc w:val="both"/>
        <w:rPr>
          <w:rFonts w:ascii="Calibri" w:hAnsi="Calibri" w:cs="Arial"/>
          <w:sz w:val="22"/>
          <w:szCs w:val="22"/>
          <w:u w:val="dash"/>
        </w:rPr>
      </w:pPr>
      <w:r w:rsidRPr="003D4E1A">
        <w:rPr>
          <w:rFonts w:ascii="Calibri" w:hAnsi="Calibri" w:cs="Arial"/>
          <w:sz w:val="22"/>
          <w:szCs w:val="22"/>
          <w:u w:val="dash"/>
        </w:rPr>
        <w:t>au plus tard trente (15)  jours avant la fin de la période préparatoire :</w:t>
      </w:r>
    </w:p>
    <w:p w:rsidR="001D5121" w:rsidRPr="003D4E1A" w:rsidRDefault="001D5121" w:rsidP="008D424A">
      <w:pPr>
        <w:widowControl w:val="0"/>
        <w:numPr>
          <w:ilvl w:val="0"/>
          <w:numId w:val="31"/>
        </w:numPr>
        <w:jc w:val="both"/>
        <w:rPr>
          <w:rFonts w:ascii="Calibri" w:hAnsi="Calibri" w:cs="Arial"/>
          <w:sz w:val="22"/>
          <w:szCs w:val="22"/>
        </w:rPr>
      </w:pPr>
      <w:r w:rsidRPr="003D4E1A">
        <w:rPr>
          <w:rFonts w:ascii="Calibri" w:hAnsi="Calibri" w:cs="Arial"/>
          <w:sz w:val="22"/>
          <w:szCs w:val="22"/>
        </w:rPr>
        <w:t xml:space="preserve">plans guides de génie civil </w:t>
      </w:r>
      <w:r w:rsidRPr="003D4E1A">
        <w:rPr>
          <w:rFonts w:ascii="Calibri" w:hAnsi="Calibri" w:cs="Arial"/>
          <w:i/>
          <w:iCs/>
          <w:sz w:val="22"/>
          <w:szCs w:val="22"/>
        </w:rPr>
        <w:t>(éléments du dossier d’exécution provisoire)</w:t>
      </w:r>
    </w:p>
    <w:p w:rsidR="001D5121" w:rsidRPr="003D4E1A" w:rsidRDefault="001D5121" w:rsidP="008D424A">
      <w:pPr>
        <w:widowControl w:val="0"/>
        <w:numPr>
          <w:ilvl w:val="0"/>
          <w:numId w:val="31"/>
        </w:numPr>
        <w:jc w:val="both"/>
        <w:rPr>
          <w:rFonts w:ascii="Calibri" w:hAnsi="Calibri" w:cs="Arial"/>
          <w:sz w:val="22"/>
          <w:szCs w:val="22"/>
        </w:rPr>
      </w:pPr>
      <w:r w:rsidRPr="003D4E1A">
        <w:rPr>
          <w:rFonts w:ascii="Calibri" w:hAnsi="Calibri" w:cs="Arial"/>
          <w:sz w:val="22"/>
          <w:szCs w:val="22"/>
        </w:rPr>
        <w:t xml:space="preserve">plans d’équipements </w:t>
      </w:r>
      <w:r w:rsidRPr="003D4E1A">
        <w:rPr>
          <w:rFonts w:ascii="Calibri" w:hAnsi="Calibri" w:cs="Arial"/>
          <w:i/>
          <w:iCs/>
          <w:sz w:val="22"/>
          <w:szCs w:val="22"/>
        </w:rPr>
        <w:t>(éléments du dossier d’exécution provisoire)</w:t>
      </w:r>
    </w:p>
    <w:p w:rsidR="001D5121" w:rsidRPr="003D4E1A" w:rsidRDefault="001D5121" w:rsidP="008D424A">
      <w:pPr>
        <w:widowControl w:val="0"/>
        <w:numPr>
          <w:ilvl w:val="0"/>
          <w:numId w:val="28"/>
        </w:numPr>
        <w:jc w:val="both"/>
        <w:rPr>
          <w:rFonts w:ascii="Calibri" w:hAnsi="Calibri" w:cs="Arial"/>
          <w:sz w:val="22"/>
          <w:szCs w:val="22"/>
          <w:u w:val="dash"/>
        </w:rPr>
      </w:pPr>
      <w:r w:rsidRPr="003D4E1A">
        <w:rPr>
          <w:rFonts w:ascii="Calibri" w:hAnsi="Calibri" w:cs="Arial"/>
          <w:sz w:val="22"/>
          <w:szCs w:val="22"/>
          <w:u w:val="dash"/>
        </w:rPr>
        <w:t>au plus tard à la fin de la période préparatoire :</w:t>
      </w:r>
    </w:p>
    <w:p w:rsidR="001D5121" w:rsidRPr="003D4E1A" w:rsidRDefault="001D5121" w:rsidP="008D424A">
      <w:pPr>
        <w:widowControl w:val="0"/>
        <w:numPr>
          <w:ilvl w:val="0"/>
          <w:numId w:val="32"/>
        </w:numPr>
        <w:rPr>
          <w:rFonts w:ascii="Calibri" w:hAnsi="Calibri" w:cs="Arial"/>
          <w:sz w:val="22"/>
          <w:szCs w:val="22"/>
        </w:rPr>
      </w:pPr>
      <w:r w:rsidRPr="003D4E1A">
        <w:rPr>
          <w:rFonts w:ascii="Calibri" w:hAnsi="Calibri" w:cs="Arial"/>
          <w:sz w:val="22"/>
          <w:szCs w:val="22"/>
        </w:rPr>
        <w:t xml:space="preserve">études complémentaires des sols pour justification des profondeurs des fouilles et du taux de travail des sols </w:t>
      </w:r>
    </w:p>
    <w:p w:rsidR="001D5121" w:rsidRPr="003D4E1A" w:rsidRDefault="001D5121" w:rsidP="008D424A">
      <w:pPr>
        <w:widowControl w:val="0"/>
        <w:numPr>
          <w:ilvl w:val="0"/>
          <w:numId w:val="28"/>
        </w:numPr>
        <w:jc w:val="both"/>
        <w:rPr>
          <w:rFonts w:ascii="Calibri" w:hAnsi="Calibri" w:cs="Arial"/>
          <w:sz w:val="22"/>
          <w:szCs w:val="22"/>
          <w:u w:val="dash"/>
        </w:rPr>
      </w:pPr>
      <w:r w:rsidRPr="003D4E1A">
        <w:rPr>
          <w:rFonts w:ascii="Calibri" w:hAnsi="Calibri" w:cs="Arial"/>
          <w:sz w:val="22"/>
          <w:szCs w:val="22"/>
          <w:u w:val="dash"/>
        </w:rPr>
        <w:t>durant la phase de réalisation des travaux :</w:t>
      </w:r>
    </w:p>
    <w:p w:rsidR="001D5121" w:rsidRPr="003D4E1A" w:rsidRDefault="001D5121" w:rsidP="008D424A">
      <w:pPr>
        <w:widowControl w:val="0"/>
        <w:numPr>
          <w:ilvl w:val="0"/>
          <w:numId w:val="26"/>
        </w:numPr>
        <w:jc w:val="both"/>
        <w:rPr>
          <w:rFonts w:ascii="Calibri" w:hAnsi="Calibri" w:cs="Arial"/>
          <w:sz w:val="22"/>
          <w:szCs w:val="22"/>
        </w:rPr>
      </w:pPr>
      <w:r w:rsidRPr="003D4E1A">
        <w:rPr>
          <w:rFonts w:ascii="Calibri" w:hAnsi="Calibri" w:cs="Arial"/>
          <w:sz w:val="22"/>
          <w:szCs w:val="22"/>
        </w:rPr>
        <w:t xml:space="preserve">plans d’exécution (plans de coffrage, de ferraillage, d’électricité, plans de détails etc., y compris notes de calcul), suivant un planning de remise des documents basé sur le planning des travaux, le dernier plan devant toutefois être transmis au maître d’œuvre au plus tard à la fin du neuvième mois de cette phase </w:t>
      </w:r>
    </w:p>
    <w:p w:rsidR="001D5121" w:rsidRPr="003D4E1A" w:rsidRDefault="001D5121" w:rsidP="008D424A">
      <w:pPr>
        <w:widowControl w:val="0"/>
        <w:numPr>
          <w:ilvl w:val="0"/>
          <w:numId w:val="26"/>
        </w:numPr>
        <w:jc w:val="both"/>
        <w:rPr>
          <w:rFonts w:ascii="Calibri" w:hAnsi="Calibri" w:cs="Arial"/>
          <w:sz w:val="22"/>
          <w:szCs w:val="22"/>
        </w:rPr>
      </w:pPr>
      <w:r w:rsidRPr="003D4E1A">
        <w:rPr>
          <w:rFonts w:ascii="Calibri" w:hAnsi="Calibri" w:cs="Arial"/>
          <w:sz w:val="22"/>
          <w:szCs w:val="22"/>
        </w:rPr>
        <w:t>l’avant métré détaillé au plus tard à la fin du neuvième mois de cette phase</w:t>
      </w:r>
    </w:p>
    <w:p w:rsidR="001D5121" w:rsidRPr="003D4E1A" w:rsidRDefault="001D5121" w:rsidP="008D424A">
      <w:pPr>
        <w:widowControl w:val="0"/>
        <w:numPr>
          <w:ilvl w:val="0"/>
          <w:numId w:val="26"/>
        </w:numPr>
        <w:jc w:val="both"/>
        <w:rPr>
          <w:rFonts w:ascii="Calibri" w:hAnsi="Calibri" w:cs="Arial"/>
          <w:sz w:val="22"/>
          <w:szCs w:val="22"/>
        </w:rPr>
      </w:pPr>
      <w:r w:rsidRPr="003D4E1A">
        <w:rPr>
          <w:rFonts w:ascii="Calibri" w:hAnsi="Calibri" w:cs="Arial"/>
          <w:sz w:val="22"/>
          <w:szCs w:val="22"/>
        </w:rPr>
        <w:t>le reste des documents spécifiés dans l’article 31du CCAFG</w:t>
      </w:r>
    </w:p>
    <w:p w:rsidR="001D5121" w:rsidRPr="003D4E1A" w:rsidRDefault="001D5121" w:rsidP="008D424A">
      <w:pPr>
        <w:widowControl w:val="0"/>
        <w:numPr>
          <w:ilvl w:val="0"/>
          <w:numId w:val="29"/>
        </w:numPr>
        <w:jc w:val="both"/>
        <w:rPr>
          <w:rFonts w:ascii="Calibri" w:hAnsi="Calibri" w:cs="Arial"/>
          <w:sz w:val="22"/>
          <w:szCs w:val="22"/>
        </w:rPr>
      </w:pPr>
      <w:r w:rsidRPr="003D4E1A">
        <w:rPr>
          <w:rFonts w:ascii="Calibri" w:hAnsi="Calibri" w:cs="Arial"/>
          <w:sz w:val="22"/>
          <w:szCs w:val="22"/>
          <w:u w:val="dash"/>
        </w:rPr>
        <w:t>au plus tard à la fin de la mise en service semi-industriel :</w:t>
      </w:r>
    </w:p>
    <w:p w:rsidR="001D5121" w:rsidRPr="003D4E1A" w:rsidRDefault="001D5121" w:rsidP="008D424A">
      <w:pPr>
        <w:widowControl w:val="0"/>
        <w:numPr>
          <w:ilvl w:val="0"/>
          <w:numId w:val="30"/>
        </w:numPr>
        <w:jc w:val="both"/>
        <w:rPr>
          <w:rFonts w:ascii="Calibri" w:hAnsi="Calibri" w:cs="Arial"/>
          <w:sz w:val="22"/>
          <w:szCs w:val="22"/>
        </w:rPr>
      </w:pPr>
      <w:r w:rsidRPr="003D4E1A">
        <w:rPr>
          <w:rFonts w:ascii="Calibri" w:hAnsi="Calibri" w:cs="Arial"/>
          <w:sz w:val="22"/>
          <w:szCs w:val="22"/>
        </w:rPr>
        <w:t>les plans, schémas et notices de montage comprenant toutes les indications nécessaires pour effectuer le montage, les réglages et le démontage du matériel </w:t>
      </w:r>
    </w:p>
    <w:p w:rsidR="001D5121" w:rsidRPr="003D4E1A" w:rsidRDefault="001D5121" w:rsidP="008D424A">
      <w:pPr>
        <w:widowControl w:val="0"/>
        <w:numPr>
          <w:ilvl w:val="0"/>
          <w:numId w:val="30"/>
        </w:numPr>
        <w:jc w:val="both"/>
        <w:rPr>
          <w:rFonts w:ascii="Calibri" w:hAnsi="Calibri" w:cs="Arial"/>
          <w:sz w:val="22"/>
          <w:szCs w:val="22"/>
        </w:rPr>
      </w:pPr>
      <w:r w:rsidRPr="003D4E1A">
        <w:rPr>
          <w:rFonts w:ascii="Calibri" w:hAnsi="Calibri" w:cs="Arial"/>
          <w:sz w:val="22"/>
          <w:szCs w:val="22"/>
        </w:rPr>
        <w:t>les notices provisoires d’exploitation (notices techniques des différents appareillages, manuel d’exploitation et de sécurité) permettant à l’exploitant d’acquérir une parfaite connaissance des installations, de leur fonctionnement et de leur contrôle au cours de la mise en service industriel</w:t>
      </w:r>
    </w:p>
    <w:p w:rsidR="001D5121" w:rsidRPr="003D4E1A" w:rsidRDefault="001D5121" w:rsidP="008D424A">
      <w:pPr>
        <w:widowControl w:val="0"/>
        <w:numPr>
          <w:ilvl w:val="0"/>
          <w:numId w:val="30"/>
        </w:numPr>
        <w:jc w:val="both"/>
        <w:rPr>
          <w:rFonts w:ascii="Calibri" w:hAnsi="Calibri" w:cs="Arial"/>
          <w:sz w:val="22"/>
          <w:szCs w:val="22"/>
        </w:rPr>
      </w:pPr>
      <w:r w:rsidRPr="003D4E1A">
        <w:rPr>
          <w:rFonts w:ascii="Calibri" w:hAnsi="Calibri" w:cs="Arial"/>
          <w:sz w:val="22"/>
          <w:szCs w:val="22"/>
        </w:rPr>
        <w:t>le manuel provisoire de maintenance et d’entretien</w:t>
      </w:r>
    </w:p>
    <w:p w:rsidR="001D5121" w:rsidRDefault="001D5121" w:rsidP="008D424A">
      <w:pPr>
        <w:pStyle w:val="BodyText"/>
        <w:spacing w:before="120"/>
        <w:ind w:left="284"/>
        <w:jc w:val="both"/>
        <w:rPr>
          <w:rFonts w:ascii="Calibri" w:hAnsi="Calibri" w:cs="Arial"/>
          <w:sz w:val="22"/>
          <w:szCs w:val="22"/>
        </w:rPr>
      </w:pPr>
      <w:r w:rsidRPr="003D4E1A">
        <w:rPr>
          <w:rFonts w:ascii="Calibri" w:hAnsi="Calibri" w:cs="Arial"/>
          <w:sz w:val="22"/>
          <w:szCs w:val="22"/>
        </w:rPr>
        <w:t>La mise en service industriel des installations est subordonnée à la remise de ces documents provisoires (parties du dossier de récolement), qui seront éventuellement corrigées et finalisées durant la période de cette mise en service.</w:t>
      </w:r>
    </w:p>
    <w:p w:rsidR="001D5121" w:rsidRPr="003D4E1A" w:rsidRDefault="001D5121" w:rsidP="008D424A">
      <w:pPr>
        <w:pStyle w:val="BodyText"/>
        <w:spacing w:before="120"/>
        <w:ind w:left="284"/>
        <w:jc w:val="both"/>
        <w:rPr>
          <w:rFonts w:ascii="Calibri" w:hAnsi="Calibri" w:cs="Arial"/>
          <w:sz w:val="22"/>
          <w:szCs w:val="22"/>
        </w:rPr>
      </w:pPr>
    </w:p>
    <w:p w:rsidR="001D5121" w:rsidRPr="003D4E1A" w:rsidRDefault="001D5121" w:rsidP="00EB3008">
      <w:pPr>
        <w:pStyle w:val="Heading2"/>
      </w:pPr>
      <w:bookmarkStart w:id="105" w:name="_Toc379367185"/>
      <w:r w:rsidRPr="003D4E1A">
        <w:t xml:space="preserve">Article </w:t>
      </w:r>
      <w:r w:rsidRPr="003D4E1A">
        <w:rPr>
          <w:rFonts w:cs="Arial"/>
          <w:szCs w:val="22"/>
        </w:rPr>
        <w:t>33.</w:t>
      </w:r>
      <w:r w:rsidRPr="003D4E1A">
        <w:tab/>
      </w:r>
      <w:bookmarkStart w:id="106" w:name="_Toc358977879"/>
      <w:bookmarkEnd w:id="104"/>
      <w:r w:rsidRPr="003D4E1A">
        <w:t>Magasinage, transport et montage</w:t>
      </w:r>
      <w:bookmarkEnd w:id="106"/>
      <w:bookmarkEnd w:id="105"/>
      <w:r w:rsidRPr="003D4E1A">
        <w:t xml:space="preserve"> </w:t>
      </w:r>
    </w:p>
    <w:p w:rsidR="001D5121" w:rsidRPr="003D4E1A" w:rsidRDefault="001D5121" w:rsidP="00EB3008">
      <w:pPr>
        <w:pStyle w:val="Heading2"/>
      </w:pPr>
      <w:bookmarkStart w:id="107" w:name="_Toc379367186"/>
      <w:r w:rsidRPr="003D4E1A">
        <w:rPr>
          <w:rFonts w:cs="Arial"/>
          <w:szCs w:val="22"/>
        </w:rPr>
        <w:t>33.1</w:t>
      </w:r>
      <w:r w:rsidRPr="003D4E1A">
        <w:tab/>
        <w:t>Magasinage</w:t>
      </w:r>
      <w:bookmarkEnd w:id="107"/>
    </w:p>
    <w:p w:rsidR="001D5121" w:rsidRPr="003D4E1A" w:rsidRDefault="001D5121" w:rsidP="00EB3008">
      <w:pPr>
        <w:spacing w:before="120"/>
        <w:ind w:left="720"/>
        <w:jc w:val="both"/>
        <w:rPr>
          <w:rFonts w:ascii="Calibri" w:hAnsi="Calibri" w:cs="Arial"/>
          <w:sz w:val="22"/>
        </w:rPr>
      </w:pPr>
      <w:bookmarkStart w:id="108" w:name="_Toc358977889"/>
      <w:r w:rsidRPr="003D4E1A">
        <w:rPr>
          <w:rFonts w:ascii="Calibri" w:hAnsi="Calibri" w:cs="Arial"/>
          <w:sz w:val="22"/>
        </w:rPr>
        <w:t>Les bordereaux d’expédition doivent être adressés, en deux exemplaires à :</w:t>
      </w:r>
    </w:p>
    <w:p w:rsidR="001D5121" w:rsidRPr="003D4E1A" w:rsidRDefault="001D5121" w:rsidP="00EB3008">
      <w:pPr>
        <w:spacing w:before="120"/>
        <w:ind w:left="720"/>
        <w:jc w:val="center"/>
        <w:rPr>
          <w:rFonts w:ascii="Calibri" w:hAnsi="Calibri" w:cs="Arial"/>
          <w:sz w:val="22"/>
        </w:rPr>
      </w:pPr>
      <w:r w:rsidRPr="003D4E1A">
        <w:rPr>
          <w:rFonts w:ascii="Calibri" w:hAnsi="Calibri" w:cs="Arial"/>
          <w:sz w:val="22"/>
        </w:rPr>
        <w:t>Monsieur le Directeur  du Technique et Ingénierie de l’ONEE – Branche Eau</w:t>
      </w:r>
    </w:p>
    <w:p w:rsidR="001D5121" w:rsidRPr="003D4E1A" w:rsidRDefault="001D5121" w:rsidP="00EB3008">
      <w:pPr>
        <w:spacing w:before="120"/>
        <w:ind w:left="720"/>
        <w:jc w:val="center"/>
        <w:rPr>
          <w:rFonts w:ascii="Calibri" w:hAnsi="Calibri" w:cs="Arial"/>
          <w:sz w:val="22"/>
        </w:rPr>
      </w:pPr>
      <w:r w:rsidRPr="003D4E1A">
        <w:rPr>
          <w:rFonts w:ascii="Calibri" w:hAnsi="Calibri" w:cs="Arial"/>
          <w:sz w:val="22"/>
        </w:rPr>
        <w:t>Quartier Administratif – Rabat</w:t>
      </w:r>
    </w:p>
    <w:p w:rsidR="001D5121" w:rsidRPr="003D4E1A" w:rsidRDefault="001D5121" w:rsidP="00EB3008">
      <w:pPr>
        <w:pStyle w:val="Heading2"/>
      </w:pPr>
      <w:bookmarkStart w:id="109" w:name="_Toc379367187"/>
      <w:r w:rsidRPr="003D4E1A">
        <w:t>CHAPITRE IV -  RECEPTION ET GARANTIES</w:t>
      </w:r>
      <w:bookmarkStart w:id="110" w:name="_Toc358977890"/>
      <w:bookmarkEnd w:id="108"/>
      <w:bookmarkEnd w:id="109"/>
    </w:p>
    <w:p w:rsidR="001D5121" w:rsidRPr="003D4E1A" w:rsidRDefault="001D5121" w:rsidP="00EB3008">
      <w:pPr>
        <w:pStyle w:val="Heading2"/>
      </w:pPr>
      <w:bookmarkStart w:id="111" w:name="_Toc379367188"/>
      <w:r w:rsidRPr="003D4E1A">
        <w:t>Article 40.</w:t>
      </w:r>
      <w:r w:rsidRPr="003D4E1A">
        <w:tab/>
      </w:r>
      <w:r w:rsidRPr="003D4E1A">
        <w:tab/>
        <w:t>Réception</w:t>
      </w:r>
      <w:bookmarkEnd w:id="111"/>
      <w:r w:rsidRPr="003D4E1A">
        <w:t xml:space="preserve"> </w:t>
      </w:r>
    </w:p>
    <w:p w:rsidR="001D5121" w:rsidRPr="003D4E1A" w:rsidRDefault="001D5121" w:rsidP="00EB3008">
      <w:pPr>
        <w:pStyle w:val="Heading2"/>
      </w:pPr>
      <w:bookmarkStart w:id="112" w:name="_Toc379367189"/>
      <w:r w:rsidRPr="003D4E1A">
        <w:rPr>
          <w:rFonts w:cs="Arial"/>
        </w:rPr>
        <w:t>40.1</w:t>
      </w:r>
      <w:r w:rsidRPr="003D4E1A">
        <w:rPr>
          <w:rFonts w:cs="Arial"/>
        </w:rPr>
        <w:tab/>
      </w:r>
      <w:bookmarkStart w:id="113" w:name="_Toc358977891"/>
      <w:bookmarkEnd w:id="110"/>
      <w:r w:rsidRPr="003D4E1A">
        <w:t>Réception en usine</w:t>
      </w:r>
      <w:bookmarkEnd w:id="113"/>
      <w:bookmarkEnd w:id="112"/>
    </w:p>
    <w:p w:rsidR="001D5121" w:rsidRPr="003D4E1A" w:rsidRDefault="001D5121" w:rsidP="00EB3008">
      <w:pPr>
        <w:spacing w:before="120"/>
        <w:ind w:left="720"/>
        <w:jc w:val="both"/>
        <w:rPr>
          <w:rFonts w:ascii="Calibri" w:hAnsi="Calibri" w:cs="Arial"/>
          <w:sz w:val="22"/>
          <w:szCs w:val="22"/>
        </w:rPr>
      </w:pPr>
      <w:r w:rsidRPr="003D4E1A">
        <w:rPr>
          <w:rFonts w:ascii="Calibri" w:hAnsi="Calibri" w:cs="Arial"/>
          <w:sz w:val="22"/>
          <w:szCs w:val="22"/>
        </w:rPr>
        <w:t>Article non applicable.</w:t>
      </w:r>
    </w:p>
    <w:p w:rsidR="001D5121" w:rsidRPr="003D4E1A" w:rsidRDefault="001D5121" w:rsidP="00EB3008">
      <w:pPr>
        <w:pStyle w:val="Heading2"/>
      </w:pPr>
      <w:bookmarkStart w:id="114" w:name="_Toc379367190"/>
      <w:r w:rsidRPr="003D4E1A">
        <w:rPr>
          <w:rFonts w:cs="Arial"/>
          <w:szCs w:val="20"/>
        </w:rPr>
        <w:t>40.3</w:t>
      </w:r>
      <w:r w:rsidRPr="003D4E1A">
        <w:rPr>
          <w:rFonts w:cs="Arial"/>
          <w:szCs w:val="20"/>
        </w:rPr>
        <w:tab/>
      </w:r>
      <w:bookmarkStart w:id="115" w:name="_Toc358977893"/>
      <w:r w:rsidRPr="003D4E1A">
        <w:t>Essais et mises en service</w:t>
      </w:r>
      <w:bookmarkEnd w:id="115"/>
      <w:bookmarkEnd w:id="114"/>
      <w:r w:rsidRPr="003D4E1A">
        <w:t xml:space="preserve"> </w:t>
      </w:r>
    </w:p>
    <w:p w:rsidR="001D5121" w:rsidRPr="003D4E1A" w:rsidRDefault="001D5121" w:rsidP="00EB3008">
      <w:pPr>
        <w:pStyle w:val="Heading4"/>
        <w:keepNext w:val="0"/>
        <w:numPr>
          <w:ilvl w:val="3"/>
          <w:numId w:val="19"/>
        </w:numPr>
        <w:spacing w:before="0" w:after="120"/>
        <w:rPr>
          <w:rFonts w:ascii="Calibri" w:hAnsi="Calibri"/>
          <w:sz w:val="22"/>
          <w:szCs w:val="22"/>
        </w:rPr>
      </w:pPr>
      <w:r w:rsidRPr="003D4E1A">
        <w:rPr>
          <w:rFonts w:ascii="Calibri" w:hAnsi="Calibri"/>
          <w:sz w:val="22"/>
          <w:szCs w:val="22"/>
        </w:rPr>
        <w:t>40.3.1. Marche semi industrielle</w:t>
      </w:r>
    </w:p>
    <w:p w:rsidR="001D5121" w:rsidRPr="003D4E1A" w:rsidRDefault="001D5121" w:rsidP="00EB3008">
      <w:pPr>
        <w:spacing w:before="120"/>
        <w:ind w:left="720"/>
        <w:jc w:val="both"/>
        <w:rPr>
          <w:rFonts w:ascii="Calibri" w:hAnsi="Calibri" w:cs="Arial"/>
          <w:sz w:val="22"/>
          <w:szCs w:val="22"/>
        </w:rPr>
      </w:pPr>
      <w:r w:rsidRPr="003D4E1A">
        <w:rPr>
          <w:rFonts w:ascii="Calibri" w:hAnsi="Calibri" w:cs="Arial"/>
          <w:sz w:val="22"/>
          <w:szCs w:val="22"/>
        </w:rPr>
        <w:t>Pour les travaux de conduites et équipements :</w:t>
      </w:r>
    </w:p>
    <w:p w:rsidR="001D5121" w:rsidRPr="003D4E1A" w:rsidRDefault="001D5121" w:rsidP="00485A8F">
      <w:pPr>
        <w:numPr>
          <w:ilvl w:val="0"/>
          <w:numId w:val="16"/>
        </w:numPr>
        <w:tabs>
          <w:tab w:val="clear" w:pos="1800"/>
          <w:tab w:val="num" w:pos="1080"/>
        </w:tabs>
        <w:spacing w:before="120"/>
        <w:ind w:left="1080"/>
        <w:jc w:val="both"/>
        <w:rPr>
          <w:rFonts w:ascii="Calibri" w:hAnsi="Calibri" w:cs="Arial"/>
          <w:sz w:val="22"/>
          <w:szCs w:val="22"/>
        </w:rPr>
      </w:pPr>
      <w:r w:rsidRPr="003D4E1A">
        <w:rPr>
          <w:rFonts w:ascii="Calibri" w:hAnsi="Calibri" w:cs="Arial"/>
          <w:sz w:val="22"/>
          <w:szCs w:val="22"/>
        </w:rPr>
        <w:t>La durée minimale de marche semi-industrielle est de un (01) mois.</w:t>
      </w:r>
    </w:p>
    <w:p w:rsidR="001D5121" w:rsidRPr="003D4E1A" w:rsidRDefault="001D5121" w:rsidP="00485A8F">
      <w:pPr>
        <w:numPr>
          <w:ilvl w:val="0"/>
          <w:numId w:val="16"/>
        </w:numPr>
        <w:tabs>
          <w:tab w:val="clear" w:pos="1800"/>
          <w:tab w:val="num" w:pos="1080"/>
        </w:tabs>
        <w:spacing w:before="120"/>
        <w:ind w:left="1080"/>
        <w:jc w:val="both"/>
        <w:rPr>
          <w:rFonts w:ascii="Calibri" w:hAnsi="Calibri" w:cs="Arial"/>
          <w:sz w:val="22"/>
          <w:szCs w:val="22"/>
        </w:rPr>
      </w:pPr>
      <w:r w:rsidRPr="003D4E1A">
        <w:rPr>
          <w:rFonts w:ascii="Calibri" w:hAnsi="Calibri" w:cs="Arial"/>
          <w:sz w:val="22"/>
          <w:szCs w:val="22"/>
        </w:rPr>
        <w:t>La durée de fonctionnement continu en service industriel autorisant le prononcé de la réception provisoire est de deux (02) mois.</w:t>
      </w:r>
    </w:p>
    <w:p w:rsidR="001D5121" w:rsidRPr="003D4E1A" w:rsidRDefault="001D5121" w:rsidP="00485A8F">
      <w:pPr>
        <w:pStyle w:val="Heading4"/>
        <w:keepNext w:val="0"/>
        <w:numPr>
          <w:ilvl w:val="3"/>
          <w:numId w:val="19"/>
        </w:numPr>
        <w:spacing w:before="240" w:after="120"/>
        <w:ind w:left="862" w:hanging="862"/>
        <w:rPr>
          <w:rFonts w:ascii="Calibri" w:hAnsi="Calibri"/>
          <w:sz w:val="22"/>
          <w:szCs w:val="22"/>
        </w:rPr>
      </w:pPr>
      <w:r w:rsidRPr="003D4E1A">
        <w:rPr>
          <w:rFonts w:ascii="Calibri" w:hAnsi="Calibri"/>
          <w:sz w:val="22"/>
          <w:szCs w:val="22"/>
        </w:rPr>
        <w:t xml:space="preserve">40.3.2. Essais de mise en service industrielle </w:t>
      </w:r>
    </w:p>
    <w:p w:rsidR="001D5121" w:rsidRPr="003D4E1A" w:rsidRDefault="001D5121" w:rsidP="00485A8F">
      <w:pPr>
        <w:numPr>
          <w:ilvl w:val="0"/>
          <w:numId w:val="16"/>
        </w:numPr>
        <w:tabs>
          <w:tab w:val="clear" w:pos="1800"/>
          <w:tab w:val="num" w:pos="1080"/>
        </w:tabs>
        <w:spacing w:before="120"/>
        <w:ind w:left="1080"/>
        <w:jc w:val="both"/>
        <w:rPr>
          <w:rFonts w:ascii="Calibri" w:hAnsi="Calibri" w:cs="Arial"/>
          <w:sz w:val="22"/>
          <w:szCs w:val="22"/>
        </w:rPr>
      </w:pPr>
      <w:r w:rsidRPr="003D4E1A">
        <w:rPr>
          <w:rFonts w:ascii="Calibri" w:hAnsi="Calibri" w:cs="Arial"/>
          <w:sz w:val="22"/>
          <w:szCs w:val="22"/>
        </w:rPr>
        <w:t>La durée de la période des essais de mise en service industrielle est de Deux (02) mois.</w:t>
      </w:r>
    </w:p>
    <w:p w:rsidR="001D5121" w:rsidRPr="003D4E1A" w:rsidRDefault="001D5121" w:rsidP="00EB3008">
      <w:pPr>
        <w:pStyle w:val="BodyTextIndent2"/>
        <w:spacing w:after="240"/>
        <w:rPr>
          <w:rFonts w:ascii="Calibri" w:hAnsi="Calibri"/>
          <w:bCs/>
          <w:i/>
          <w:iCs/>
          <w:color w:val="0000FF"/>
          <w:sz w:val="22"/>
          <w:szCs w:val="22"/>
        </w:rPr>
      </w:pPr>
      <w:r w:rsidRPr="00C4099A">
        <w:rPr>
          <w:rFonts w:ascii="Calibri" w:hAnsi="Calibri"/>
          <w:bCs/>
          <w:iCs/>
          <w:color w:val="0000FF"/>
          <w:sz w:val="22"/>
          <w:szCs w:val="22"/>
        </w:rPr>
        <w:t>Une formation du personnel de l’ONEE-Branche Eau est prévue dans le cadre de ce marché (Cf. CCTP Articles II.A.15 –Formation du personnel, IV.E &amp; V.A.8- Formation).</w:t>
      </w:r>
    </w:p>
    <w:p w:rsidR="001D5121" w:rsidRPr="003D4E1A" w:rsidRDefault="001D5121" w:rsidP="00EB3008">
      <w:pPr>
        <w:pStyle w:val="Heading2"/>
      </w:pPr>
      <w:bookmarkStart w:id="116" w:name="_Toc358977894"/>
      <w:bookmarkStart w:id="117" w:name="_Toc379367191"/>
      <w:r w:rsidRPr="003D4E1A">
        <w:t>Article 42.</w:t>
      </w:r>
      <w:r w:rsidRPr="003D4E1A">
        <w:rPr>
          <w:color w:val="FF0000"/>
        </w:rPr>
        <w:tab/>
      </w:r>
      <w:bookmarkStart w:id="118" w:name="_Toc358977898"/>
      <w:bookmarkEnd w:id="116"/>
      <w:r w:rsidRPr="003D4E1A">
        <w:rPr>
          <w:color w:val="FF0000"/>
        </w:rPr>
        <w:tab/>
      </w:r>
      <w:r w:rsidRPr="003D4E1A">
        <w:t>Garanties</w:t>
      </w:r>
      <w:bookmarkEnd w:id="117"/>
      <w:r w:rsidRPr="003D4E1A">
        <w:t xml:space="preserve"> </w:t>
      </w:r>
      <w:bookmarkEnd w:id="118"/>
    </w:p>
    <w:p w:rsidR="001D5121" w:rsidRPr="003D4E1A" w:rsidRDefault="001D5121" w:rsidP="00EB3008">
      <w:pPr>
        <w:pStyle w:val="Heading2"/>
      </w:pPr>
      <w:bookmarkStart w:id="119" w:name="_Toc358977899"/>
      <w:bookmarkStart w:id="120" w:name="_Toc379367192"/>
      <w:r w:rsidRPr="003D4E1A">
        <w:t>42.1</w:t>
      </w:r>
      <w:r w:rsidRPr="003D4E1A">
        <w:tab/>
        <w:t>Délai de garantie</w:t>
      </w:r>
      <w:bookmarkEnd w:id="119"/>
      <w:bookmarkEnd w:id="120"/>
    </w:p>
    <w:p w:rsidR="001D5121" w:rsidRPr="003D4E1A" w:rsidRDefault="001D5121" w:rsidP="00EB3008">
      <w:pPr>
        <w:pStyle w:val="BodyTextIndent2"/>
        <w:spacing w:after="240"/>
        <w:rPr>
          <w:rFonts w:ascii="Calibri" w:hAnsi="Calibri"/>
          <w:i/>
          <w:iCs/>
          <w:color w:val="0000FF"/>
          <w:sz w:val="22"/>
          <w:szCs w:val="22"/>
        </w:rPr>
      </w:pPr>
      <w:r w:rsidRPr="003D4E1A">
        <w:rPr>
          <w:rFonts w:ascii="Calibri" w:hAnsi="Calibri" w:cs="Arial"/>
          <w:sz w:val="22"/>
          <w:szCs w:val="20"/>
        </w:rPr>
        <w:t>Les dispositions de l’article 42.1 du CCAFG s’appliquent.</w:t>
      </w:r>
    </w:p>
    <w:p w:rsidR="001D5121" w:rsidRPr="003D4E1A" w:rsidRDefault="001D5121" w:rsidP="00EB3008">
      <w:pPr>
        <w:pStyle w:val="Heading2"/>
      </w:pPr>
      <w:r w:rsidRPr="003D4E1A">
        <w:tab/>
      </w:r>
      <w:bookmarkStart w:id="121" w:name="_Toc379367193"/>
      <w:r w:rsidRPr="003D4E1A">
        <w:t>42.2</w:t>
      </w:r>
      <w:r w:rsidRPr="003D4E1A">
        <w:tab/>
      </w:r>
      <w:bookmarkStart w:id="122" w:name="_Toc358977900"/>
      <w:r w:rsidRPr="003D4E1A">
        <w:t>Responsabilité décennale</w:t>
      </w:r>
      <w:bookmarkEnd w:id="122"/>
      <w:bookmarkEnd w:id="121"/>
    </w:p>
    <w:p w:rsidR="001D5121" w:rsidRPr="003D4E1A" w:rsidRDefault="001D5121" w:rsidP="00EB3008">
      <w:pPr>
        <w:spacing w:after="120"/>
        <w:ind w:left="720"/>
        <w:rPr>
          <w:rFonts w:ascii="Calibri" w:hAnsi="Calibri" w:cs="Arial"/>
          <w:sz w:val="22"/>
          <w:szCs w:val="20"/>
        </w:rPr>
      </w:pPr>
      <w:r w:rsidRPr="003D4E1A">
        <w:rPr>
          <w:rFonts w:ascii="Calibri" w:hAnsi="Calibri" w:cs="Arial"/>
          <w:sz w:val="22"/>
          <w:szCs w:val="20"/>
        </w:rPr>
        <w:t xml:space="preserve">En ce qui concerne le génie civil, l’entrepreneur doit produire une police de garantie décennale, préalablement à la réception définitive. </w:t>
      </w:r>
    </w:p>
    <w:p w:rsidR="001D5121" w:rsidRPr="003D4E1A" w:rsidRDefault="001D5121" w:rsidP="00EB3008">
      <w:pPr>
        <w:spacing w:after="120"/>
        <w:ind w:left="720"/>
        <w:rPr>
          <w:rFonts w:ascii="Calibri" w:hAnsi="Calibri" w:cs="Arial"/>
          <w:sz w:val="22"/>
          <w:szCs w:val="20"/>
        </w:rPr>
      </w:pPr>
      <w:r w:rsidRPr="003D4E1A">
        <w:rPr>
          <w:rFonts w:ascii="Calibri" w:hAnsi="Calibri" w:cs="Arial"/>
          <w:sz w:val="22"/>
          <w:szCs w:val="20"/>
        </w:rPr>
        <w:t>Le point de départ de la responsabilité décennale est fixé à la date d’effet de la réception définitive du marché.</w:t>
      </w:r>
    </w:p>
    <w:p w:rsidR="001D5121" w:rsidRPr="003D4E1A" w:rsidRDefault="001D5121" w:rsidP="00EB3008">
      <w:pPr>
        <w:pStyle w:val="Heading2"/>
      </w:pPr>
      <w:bookmarkStart w:id="123" w:name="_Toc358977902"/>
      <w:bookmarkStart w:id="124" w:name="_Toc379367194"/>
      <w:r w:rsidRPr="003D4E1A">
        <w:t>Article 44.</w:t>
      </w:r>
      <w:r w:rsidRPr="003D4E1A">
        <w:tab/>
      </w:r>
      <w:r w:rsidRPr="003D4E1A">
        <w:tab/>
        <w:t>Réception définitive</w:t>
      </w:r>
      <w:bookmarkEnd w:id="123"/>
      <w:bookmarkEnd w:id="124"/>
    </w:p>
    <w:p w:rsidR="001D5121" w:rsidRPr="003D4E1A" w:rsidRDefault="001D5121" w:rsidP="00EB3008">
      <w:pPr>
        <w:spacing w:after="120"/>
        <w:ind w:left="720"/>
        <w:rPr>
          <w:rFonts w:ascii="Calibri" w:hAnsi="Calibri" w:cs="Arial"/>
          <w:sz w:val="22"/>
          <w:szCs w:val="20"/>
        </w:rPr>
      </w:pPr>
      <w:r w:rsidRPr="003D4E1A">
        <w:rPr>
          <w:rFonts w:ascii="Calibri" w:hAnsi="Calibri" w:cs="Arial"/>
          <w:sz w:val="22"/>
          <w:szCs w:val="20"/>
        </w:rPr>
        <w:t>La réception définitive est conditionnée par la production par l’entrepreneur et l’acceptation par le maître d’œuvre de la police d’assurance couvrant les risques liés à la responsabilité décennale.</w:t>
      </w:r>
    </w:p>
    <w:p w:rsidR="001D5121" w:rsidRPr="003D4E1A" w:rsidRDefault="001D5121" w:rsidP="00EB3008">
      <w:pPr>
        <w:pStyle w:val="Heading2"/>
      </w:pPr>
      <w:bookmarkStart w:id="125" w:name="_Toc358977908"/>
      <w:bookmarkStart w:id="126" w:name="_Toc379367195"/>
      <w:r w:rsidRPr="003D4E1A">
        <w:t xml:space="preserve">CHAPITRE V - PRIX ET REGLEMENT DES </w:t>
      </w:r>
      <w:r>
        <w:t>A</w:t>
      </w:r>
      <w:r w:rsidRPr="003D4E1A">
        <w:t>COMPTES</w:t>
      </w:r>
      <w:bookmarkEnd w:id="125"/>
      <w:bookmarkEnd w:id="126"/>
    </w:p>
    <w:p w:rsidR="001D5121" w:rsidRPr="003D4E1A" w:rsidRDefault="001D5121" w:rsidP="00EB3008">
      <w:pPr>
        <w:pStyle w:val="Heading2"/>
      </w:pPr>
      <w:bookmarkStart w:id="127" w:name="_Toc358977914"/>
      <w:bookmarkStart w:id="128" w:name="_Toc379367196"/>
      <w:r w:rsidRPr="003D4E1A">
        <w:t>Article 52.</w:t>
      </w:r>
      <w:r w:rsidRPr="003D4E1A">
        <w:tab/>
      </w:r>
      <w:bookmarkStart w:id="129" w:name="_Toc358977917"/>
      <w:bookmarkEnd w:id="127"/>
      <w:r w:rsidRPr="003D4E1A">
        <w:tab/>
        <w:t>Modalités de paiement</w:t>
      </w:r>
      <w:bookmarkEnd w:id="129"/>
      <w:bookmarkEnd w:id="128"/>
      <w:r w:rsidRPr="003D4E1A">
        <w:t xml:space="preserve"> </w:t>
      </w:r>
    </w:p>
    <w:p w:rsidR="001D5121" w:rsidRPr="003D4E1A" w:rsidRDefault="001D5121" w:rsidP="00EB3008">
      <w:pPr>
        <w:spacing w:after="120"/>
        <w:rPr>
          <w:rFonts w:ascii="Calibri" w:hAnsi="Calibri" w:cs="Arial"/>
          <w:sz w:val="22"/>
          <w:szCs w:val="20"/>
        </w:rPr>
      </w:pPr>
      <w:r w:rsidRPr="003D4E1A">
        <w:rPr>
          <w:rFonts w:ascii="Calibri" w:hAnsi="Calibri" w:cs="Arial"/>
          <w:sz w:val="22"/>
          <w:szCs w:val="20"/>
        </w:rPr>
        <w:t>Les dispositions de l’article 52 du CCAFG s’appliquent.</w:t>
      </w:r>
    </w:p>
    <w:p w:rsidR="001D5121" w:rsidRPr="003D4E1A" w:rsidRDefault="001D5121" w:rsidP="00EB3008">
      <w:pPr>
        <w:pStyle w:val="Heading2"/>
      </w:pPr>
      <w:bookmarkStart w:id="130" w:name="_Toc379367197"/>
      <w:r w:rsidRPr="003D4E1A">
        <w:t>52.1</w:t>
      </w:r>
      <w:bookmarkStart w:id="131" w:name="_Toc358977918"/>
      <w:r w:rsidRPr="003D4E1A">
        <w:tab/>
        <w:t>Avances</w:t>
      </w:r>
      <w:bookmarkEnd w:id="131"/>
      <w:bookmarkEnd w:id="130"/>
      <w:r w:rsidRPr="003D4E1A">
        <w:t xml:space="preserve"> </w:t>
      </w:r>
    </w:p>
    <w:p w:rsidR="001D5121" w:rsidRPr="005D22FF" w:rsidRDefault="001D5121" w:rsidP="005D22FF">
      <w:pPr>
        <w:spacing w:after="120"/>
        <w:rPr>
          <w:rFonts w:ascii="Calibri" w:hAnsi="Calibri" w:cs="Arial"/>
          <w:sz w:val="22"/>
          <w:szCs w:val="20"/>
        </w:rPr>
      </w:pPr>
      <w:bookmarkStart w:id="132" w:name="_Toc67992361"/>
      <w:r w:rsidRPr="005D22FF">
        <w:rPr>
          <w:rFonts w:ascii="Calibri" w:hAnsi="Calibri" w:cs="Arial"/>
          <w:sz w:val="22"/>
          <w:szCs w:val="20"/>
        </w:rPr>
        <w:t>Une avance non révisable de 10 % du montant initial du marché sera débloquée à la notification de l’ordre de service de commencer les travaux contre caution bancaire libérable lorsque l’avance sera en totalité remboursée.</w:t>
      </w:r>
    </w:p>
    <w:p w:rsidR="001D5121" w:rsidRPr="005D22FF" w:rsidRDefault="001D5121" w:rsidP="005D22FF">
      <w:pPr>
        <w:spacing w:after="120"/>
        <w:rPr>
          <w:rFonts w:ascii="Calibri" w:hAnsi="Calibri" w:cs="Arial"/>
          <w:sz w:val="22"/>
          <w:szCs w:val="20"/>
        </w:rPr>
      </w:pPr>
      <w:r w:rsidRPr="005D22FF">
        <w:rPr>
          <w:rFonts w:ascii="Calibri" w:hAnsi="Calibri" w:cs="Arial"/>
          <w:sz w:val="22"/>
          <w:szCs w:val="20"/>
        </w:rPr>
        <w:t>Les remboursements de l’avance commenceront à partir du premier décompte des prestations et s'effectueront par prélèvement de 12,5% du montant de chaque acompte. L'avance devra être totalement remboursée lorsque le montant des sommes dues par le maître d'ouvrage atteindra 80% du montant initial du Marché. Le cas échéant, le reliquat sera prélevé du décompte définitif.</w:t>
      </w:r>
    </w:p>
    <w:p w:rsidR="001D5121" w:rsidRPr="003D4E1A" w:rsidRDefault="001D5121" w:rsidP="00EB3008">
      <w:pPr>
        <w:pStyle w:val="Heading2"/>
      </w:pPr>
      <w:bookmarkStart w:id="133" w:name="_Toc379367198"/>
      <w:r w:rsidRPr="003D4E1A">
        <w:t>52.2</w:t>
      </w:r>
      <w:r w:rsidRPr="003D4E1A">
        <w:tab/>
        <w:t>Acomptes sur approvisionnements</w:t>
      </w:r>
      <w:bookmarkEnd w:id="132"/>
      <w:r w:rsidRPr="003D4E1A">
        <w:t> :</w:t>
      </w:r>
      <w:bookmarkEnd w:id="133"/>
    </w:p>
    <w:p w:rsidR="001D5121" w:rsidRPr="003D4E1A" w:rsidRDefault="001D5121" w:rsidP="00EB3008">
      <w:pPr>
        <w:pStyle w:val="BodyTextIndent"/>
        <w:spacing w:before="120" w:after="240"/>
        <w:jc w:val="both"/>
        <w:rPr>
          <w:rFonts w:ascii="Calibri" w:hAnsi="Calibri" w:cs="Arial"/>
          <w:sz w:val="22"/>
        </w:rPr>
      </w:pPr>
      <w:r w:rsidRPr="003D4E1A">
        <w:rPr>
          <w:rFonts w:ascii="Calibri" w:hAnsi="Calibri" w:cs="Arial"/>
          <w:sz w:val="22"/>
        </w:rPr>
        <w:t>Le présent marché ne prévoit pas d’acompte sur approvisionnements.</w:t>
      </w:r>
    </w:p>
    <w:p w:rsidR="001D5121" w:rsidRPr="003D4E1A" w:rsidRDefault="001D5121" w:rsidP="00EB3008">
      <w:pPr>
        <w:pStyle w:val="Heading2"/>
      </w:pPr>
      <w:bookmarkStart w:id="134" w:name="_Toc379367199"/>
      <w:r w:rsidRPr="003D4E1A">
        <w:t xml:space="preserve">52.3 </w:t>
      </w:r>
      <w:r w:rsidRPr="003D4E1A">
        <w:tab/>
        <w:t>Paiement du dossier d’exécution :</w:t>
      </w:r>
      <w:bookmarkEnd w:id="134"/>
    </w:p>
    <w:p w:rsidR="001D5121" w:rsidRPr="003D4E1A" w:rsidRDefault="001D5121" w:rsidP="00EB3008">
      <w:pPr>
        <w:spacing w:before="120"/>
        <w:ind w:left="567"/>
        <w:jc w:val="both"/>
        <w:rPr>
          <w:rFonts w:ascii="Calibri" w:hAnsi="Calibri" w:cs="Calibri"/>
          <w:sz w:val="22"/>
          <w:szCs w:val="22"/>
        </w:rPr>
      </w:pPr>
      <w:r w:rsidRPr="003D4E1A">
        <w:rPr>
          <w:rFonts w:ascii="Calibri" w:hAnsi="Calibri" w:cs="Calibri"/>
          <w:sz w:val="22"/>
          <w:szCs w:val="22"/>
        </w:rPr>
        <w:t>100% du prix à la réception et l’acceptation par le maître d’ouvrage du dossier d’exécution.</w:t>
      </w:r>
    </w:p>
    <w:p w:rsidR="001D5121" w:rsidRPr="003D4E1A" w:rsidRDefault="001D5121" w:rsidP="00EB3008">
      <w:pPr>
        <w:spacing w:before="120"/>
        <w:ind w:left="567"/>
        <w:jc w:val="both"/>
        <w:rPr>
          <w:rFonts w:ascii="Calibri" w:hAnsi="Calibri" w:cs="Calibri"/>
          <w:sz w:val="22"/>
          <w:szCs w:val="22"/>
        </w:rPr>
      </w:pPr>
      <w:r w:rsidRPr="003D4E1A">
        <w:rPr>
          <w:rFonts w:ascii="Calibri" w:hAnsi="Calibri" w:cs="Calibri"/>
          <w:sz w:val="22"/>
          <w:szCs w:val="22"/>
        </w:rPr>
        <w:t>Le paiement du prix</w:t>
      </w:r>
      <w:r w:rsidRPr="003D4E1A">
        <w:rPr>
          <w:rFonts w:ascii="Calibri" w:hAnsi="Calibri" w:cs="Calibri"/>
          <w:b/>
          <w:bCs/>
          <w:color w:val="0000FF"/>
          <w:sz w:val="22"/>
          <w:szCs w:val="22"/>
        </w:rPr>
        <w:t xml:space="preserve"> n° 01.1 de la partie commune</w:t>
      </w:r>
      <w:r w:rsidRPr="003D4E1A">
        <w:rPr>
          <w:rFonts w:ascii="Calibri" w:hAnsi="Calibri" w:cs="Calibri"/>
          <w:sz w:val="22"/>
          <w:szCs w:val="22"/>
        </w:rPr>
        <w:t xml:space="preserve"> relatif au dossier d’exécution est plafonné à 1,5% du montant hors taxe du marché.</w:t>
      </w:r>
    </w:p>
    <w:p w:rsidR="001D5121" w:rsidRPr="003D4E1A" w:rsidRDefault="001D5121" w:rsidP="00EB3008">
      <w:pPr>
        <w:spacing w:after="240"/>
        <w:ind w:left="567"/>
        <w:jc w:val="both"/>
        <w:rPr>
          <w:rFonts w:ascii="Calibri" w:hAnsi="Calibri" w:cs="Calibri"/>
          <w:sz w:val="22"/>
          <w:szCs w:val="22"/>
        </w:rPr>
      </w:pPr>
      <w:r w:rsidRPr="003D4E1A">
        <w:rPr>
          <w:rFonts w:ascii="Calibri" w:hAnsi="Calibri" w:cs="Calibri"/>
          <w:sz w:val="22"/>
          <w:szCs w:val="22"/>
        </w:rPr>
        <w:t>Le solde éventuel est payé à la réception provisoire du marché.</w:t>
      </w:r>
    </w:p>
    <w:p w:rsidR="001D5121" w:rsidRPr="003D4E1A" w:rsidRDefault="001D5121" w:rsidP="00EB3008">
      <w:pPr>
        <w:pStyle w:val="Heading2"/>
      </w:pPr>
      <w:bookmarkStart w:id="135" w:name="_Toc379367200"/>
      <w:r w:rsidRPr="003D4E1A">
        <w:t>52.5</w:t>
      </w:r>
      <w:r w:rsidRPr="003D4E1A">
        <w:tab/>
        <w:t>Paiement des travaux autres que ceux des équipements</w:t>
      </w:r>
      <w:bookmarkEnd w:id="135"/>
    </w:p>
    <w:p w:rsidR="001D5121" w:rsidRPr="003D4E1A" w:rsidRDefault="001D5121" w:rsidP="00EB3008">
      <w:pPr>
        <w:spacing w:before="60"/>
        <w:ind w:left="720"/>
        <w:jc w:val="both"/>
        <w:rPr>
          <w:rFonts w:ascii="Calibri" w:hAnsi="Calibri" w:cs="Arial"/>
          <w:sz w:val="22"/>
        </w:rPr>
      </w:pPr>
      <w:r w:rsidRPr="003D4E1A">
        <w:rPr>
          <w:rFonts w:ascii="Calibri" w:hAnsi="Calibri" w:cs="Calibri"/>
          <w:sz w:val="22"/>
          <w:szCs w:val="22"/>
          <w:highlight w:val="yellow"/>
        </w:rPr>
        <w:t>Pour la partie appel d’offres,</w:t>
      </w:r>
      <w:r w:rsidRPr="003D4E1A">
        <w:rPr>
          <w:rFonts w:ascii="Calibri" w:hAnsi="Calibri" w:cs="Calibri"/>
          <w:sz w:val="22"/>
          <w:szCs w:val="22"/>
        </w:rPr>
        <w:t xml:space="preserve"> </w:t>
      </w:r>
      <w:r w:rsidRPr="003D4E1A">
        <w:rPr>
          <w:rFonts w:ascii="Calibri" w:hAnsi="Calibri" w:cs="Arial"/>
          <w:sz w:val="22"/>
        </w:rPr>
        <w:t xml:space="preserve">Les dispositions du paragraphe 52.5 du CCAFG s’appliquent. </w:t>
      </w:r>
    </w:p>
    <w:p w:rsidR="001D5121" w:rsidRPr="000E1638" w:rsidRDefault="001D5121" w:rsidP="000E1638">
      <w:pPr>
        <w:pStyle w:val="BodyText2"/>
        <w:spacing w:before="0" w:after="120"/>
        <w:ind w:left="720"/>
        <w:rPr>
          <w:rFonts w:ascii="Calibri" w:hAnsi="Calibri" w:cs="Calibri"/>
          <w:sz w:val="22"/>
          <w:szCs w:val="22"/>
          <w:u w:val="single"/>
        </w:rPr>
      </w:pPr>
      <w:r w:rsidRPr="000E1638">
        <w:rPr>
          <w:rFonts w:ascii="Calibri" w:hAnsi="Calibri" w:cs="Calibri"/>
          <w:sz w:val="22"/>
          <w:szCs w:val="22"/>
          <w:u w:val="single"/>
        </w:rPr>
        <w:t>Pour  les travaux du marché conception-réalisation</w:t>
      </w:r>
    </w:p>
    <w:p w:rsidR="001D5121" w:rsidRPr="00B12DE7" w:rsidRDefault="001D5121" w:rsidP="00B12DE7">
      <w:pPr>
        <w:pStyle w:val="BodyText2"/>
        <w:spacing w:after="120"/>
        <w:ind w:left="568"/>
        <w:rPr>
          <w:rFonts w:ascii="Calibri" w:hAnsi="Calibri"/>
          <w:sz w:val="22"/>
          <w:szCs w:val="22"/>
          <w:u w:val="single"/>
        </w:rPr>
      </w:pPr>
      <w:r w:rsidRPr="00B12DE7">
        <w:rPr>
          <w:rFonts w:ascii="Calibri" w:hAnsi="Calibri"/>
          <w:sz w:val="22"/>
          <w:szCs w:val="22"/>
          <w:u w:val="single"/>
        </w:rPr>
        <w:t>Les ouvrages figurant dans le bordereau des prix et relatifs aux travaux hors équipement, notamment ceux du GC, sont « clé en mains ».</w:t>
      </w:r>
    </w:p>
    <w:p w:rsidR="001D5121" w:rsidRPr="00B12DE7" w:rsidRDefault="001D5121" w:rsidP="00B12DE7">
      <w:pPr>
        <w:pStyle w:val="BodyText2"/>
        <w:ind w:left="568"/>
        <w:rPr>
          <w:rFonts w:ascii="Calibri" w:hAnsi="Calibri"/>
          <w:sz w:val="22"/>
          <w:szCs w:val="22"/>
        </w:rPr>
      </w:pPr>
      <w:r w:rsidRPr="00B12DE7">
        <w:rPr>
          <w:rFonts w:ascii="Calibri" w:hAnsi="Calibri"/>
          <w:sz w:val="22"/>
          <w:szCs w:val="22"/>
        </w:rPr>
        <w:t>Les travaux payés au forfait (terrassements, travaux de gros œuvre, de second œuvre, d’aménagement des abords, de VRD) et de divers aménagements seront payés suivant les prix forfaitaires de l’ouvrage concerné, figurant dans le bordereau des prix. Les paiements seront effectués mensuellement au fur et à mesure de l’avancement des travaux et seront calculés en multipliant les prix forfaitaires par le rapport (en pourcentage) des quantités réellement exécutées et des quantités prévues dans les plans d’exécution.</w:t>
      </w:r>
    </w:p>
    <w:p w:rsidR="001D5121" w:rsidRPr="00B12DE7" w:rsidRDefault="001D5121" w:rsidP="00B12DE7">
      <w:pPr>
        <w:pStyle w:val="BodyText2"/>
        <w:ind w:left="568"/>
        <w:rPr>
          <w:rFonts w:ascii="Calibri" w:hAnsi="Calibri"/>
          <w:sz w:val="22"/>
          <w:szCs w:val="22"/>
        </w:rPr>
      </w:pPr>
      <w:r w:rsidRPr="00B12DE7">
        <w:rPr>
          <w:rFonts w:ascii="Calibri" w:hAnsi="Calibri"/>
          <w:sz w:val="22"/>
          <w:szCs w:val="22"/>
        </w:rPr>
        <w:t xml:space="preserve">Ce pourcentage (%) est calculé comme suit :                </w:t>
      </w:r>
      <w:r w:rsidRPr="00B12DE7">
        <w:rPr>
          <w:rFonts w:ascii="Calibri" w:hAnsi="Calibri"/>
          <w:b/>
          <w:bCs/>
          <w:sz w:val="22"/>
          <w:szCs w:val="22"/>
        </w:rPr>
        <w:t>% = (A/B) x 100</w:t>
      </w:r>
    </w:p>
    <w:p w:rsidR="001D5121" w:rsidRPr="00B12DE7" w:rsidRDefault="001D5121" w:rsidP="00ED5EE4">
      <w:pPr>
        <w:pStyle w:val="Heading3"/>
        <w:ind w:left="568"/>
        <w:rPr>
          <w:rFonts w:ascii="Calibri" w:hAnsi="Calibri"/>
          <w:sz w:val="22"/>
          <w:szCs w:val="22"/>
        </w:rPr>
      </w:pPr>
      <w:bookmarkStart w:id="136" w:name="_Toc379367201"/>
      <w:r w:rsidRPr="00B12DE7">
        <w:rPr>
          <w:rFonts w:ascii="Calibri" w:hAnsi="Calibri"/>
          <w:sz w:val="22"/>
          <w:szCs w:val="22"/>
        </w:rPr>
        <w:t>Avec          A =   le montant calculé à la base des prix unitaires du marché et des quantités</w:t>
      </w:r>
      <w:bookmarkEnd w:id="136"/>
      <w:r w:rsidRPr="00B12DE7">
        <w:rPr>
          <w:rFonts w:ascii="Calibri" w:hAnsi="Calibri"/>
          <w:sz w:val="22"/>
          <w:szCs w:val="22"/>
        </w:rPr>
        <w:t xml:space="preserve"> </w:t>
      </w:r>
    </w:p>
    <w:p w:rsidR="001D5121" w:rsidRPr="00B12DE7" w:rsidRDefault="001D5121" w:rsidP="00ED5EE4">
      <w:pPr>
        <w:pStyle w:val="Heading3"/>
        <w:ind w:left="928" w:firstLine="720"/>
        <w:rPr>
          <w:rFonts w:ascii="Calibri" w:hAnsi="Calibri"/>
          <w:sz w:val="22"/>
          <w:szCs w:val="22"/>
        </w:rPr>
      </w:pPr>
      <w:r w:rsidRPr="00B12DE7">
        <w:rPr>
          <w:rFonts w:ascii="Calibri" w:hAnsi="Calibri"/>
          <w:sz w:val="22"/>
          <w:szCs w:val="22"/>
        </w:rPr>
        <w:t xml:space="preserve">        </w:t>
      </w:r>
      <w:bookmarkStart w:id="137" w:name="_Toc379367202"/>
      <w:r w:rsidRPr="00B12DE7">
        <w:rPr>
          <w:rFonts w:ascii="Calibri" w:hAnsi="Calibri"/>
          <w:sz w:val="22"/>
          <w:szCs w:val="22"/>
        </w:rPr>
        <w:t>réellement exécutés</w:t>
      </w:r>
      <w:bookmarkEnd w:id="137"/>
    </w:p>
    <w:p w:rsidR="001D5121" w:rsidRPr="00B12DE7" w:rsidRDefault="001D5121" w:rsidP="00ED5EE4">
      <w:pPr>
        <w:pStyle w:val="Heading3"/>
        <w:ind w:left="2008" w:hanging="360"/>
        <w:rPr>
          <w:rFonts w:ascii="Calibri" w:hAnsi="Calibri"/>
          <w:b w:val="0"/>
          <w:bCs w:val="0"/>
          <w:sz w:val="22"/>
          <w:szCs w:val="22"/>
        </w:rPr>
      </w:pPr>
      <w:bookmarkStart w:id="138" w:name="_Toc379367203"/>
      <w:r w:rsidRPr="00B12DE7">
        <w:rPr>
          <w:rFonts w:ascii="Calibri" w:hAnsi="Calibri"/>
          <w:bCs w:val="0"/>
          <w:sz w:val="22"/>
          <w:szCs w:val="22"/>
        </w:rPr>
        <w:t>B =  le montant de l’ouvrage calculé à la base des prix unitaires du marché et des quantités prévues dans les plans d’exécution</w:t>
      </w:r>
      <w:r w:rsidRPr="00B12DE7">
        <w:rPr>
          <w:rFonts w:ascii="Calibri" w:hAnsi="Calibri"/>
          <w:b w:val="0"/>
          <w:bCs w:val="0"/>
          <w:sz w:val="22"/>
          <w:szCs w:val="22"/>
        </w:rPr>
        <w:t>.</w:t>
      </w:r>
      <w:bookmarkEnd w:id="138"/>
    </w:p>
    <w:p w:rsidR="001D5121" w:rsidRPr="00B12DE7" w:rsidRDefault="001D5121" w:rsidP="00B12DE7">
      <w:pPr>
        <w:pStyle w:val="BodyText2"/>
        <w:ind w:left="568"/>
        <w:rPr>
          <w:rFonts w:ascii="Calibri" w:hAnsi="Calibri"/>
          <w:sz w:val="22"/>
          <w:szCs w:val="22"/>
        </w:rPr>
      </w:pPr>
      <w:r w:rsidRPr="00B12DE7">
        <w:rPr>
          <w:rFonts w:ascii="Calibri" w:hAnsi="Calibri"/>
          <w:sz w:val="22"/>
          <w:szCs w:val="22"/>
        </w:rPr>
        <w:t>A l’achèvement, chaque ouvrage forfaitaire sera payé à 100% de son montant figurant au niveau du bordereau des prix formant détail estimatif.</w:t>
      </w:r>
    </w:p>
    <w:p w:rsidR="001D5121" w:rsidRPr="00B12DE7" w:rsidRDefault="001D5121" w:rsidP="00B12DE7">
      <w:pPr>
        <w:pStyle w:val="BodyText2"/>
        <w:ind w:left="568"/>
        <w:rPr>
          <w:rFonts w:ascii="Calibri" w:hAnsi="Calibri"/>
          <w:sz w:val="22"/>
          <w:szCs w:val="22"/>
          <w:u w:val="single"/>
        </w:rPr>
      </w:pPr>
      <w:r w:rsidRPr="00B12DE7">
        <w:rPr>
          <w:rFonts w:ascii="Calibri" w:hAnsi="Calibri"/>
          <w:sz w:val="22"/>
          <w:szCs w:val="22"/>
          <w:u w:val="single"/>
        </w:rPr>
        <w:t>L'omission de prix par l'Entrepreneur ne pourra donner lieu à aucune réclamation de sa part, de même que le dépassement de quantités indiquées par l'Entrepreneur dans son offre qui serait nécessaire à l'exécution complète des ouvrages selon les plans d'exécution approuvés et les règles de l'art. Les ouvrages étant clés en mains, l'Entrepreneur a en effet pour obligation de livrer des installations complètes et en parfait état de marche.</w:t>
      </w:r>
    </w:p>
    <w:p w:rsidR="001D5121" w:rsidRPr="003D4E1A" w:rsidRDefault="001D5121" w:rsidP="00EB3008">
      <w:pPr>
        <w:pStyle w:val="Heading2"/>
      </w:pPr>
      <w:r w:rsidRPr="003D4E1A">
        <w:tab/>
      </w:r>
      <w:bookmarkStart w:id="139" w:name="_Toc358977923"/>
      <w:bookmarkStart w:id="140" w:name="_Toc379367204"/>
      <w:r w:rsidRPr="003D4E1A">
        <w:t>52.6</w:t>
      </w:r>
      <w:r w:rsidRPr="003D4E1A">
        <w:tab/>
        <w:t>Paiement des travaux d’équipements</w:t>
      </w:r>
      <w:bookmarkEnd w:id="139"/>
      <w:bookmarkEnd w:id="140"/>
    </w:p>
    <w:p w:rsidR="001D5121" w:rsidRPr="003D4E1A" w:rsidRDefault="001D5121" w:rsidP="00EB3008">
      <w:pPr>
        <w:spacing w:before="60"/>
        <w:ind w:left="720"/>
        <w:jc w:val="both"/>
        <w:rPr>
          <w:rFonts w:ascii="Calibri" w:hAnsi="Calibri" w:cs="Arial"/>
          <w:sz w:val="22"/>
        </w:rPr>
      </w:pPr>
      <w:r w:rsidRPr="003D4E1A">
        <w:rPr>
          <w:rFonts w:ascii="Calibri" w:hAnsi="Calibri" w:cs="Arial"/>
          <w:sz w:val="22"/>
        </w:rPr>
        <w:t xml:space="preserve">Les dispositions du paragraphe 52.6 du CCAFG s’appliquent. </w:t>
      </w:r>
    </w:p>
    <w:p w:rsidR="001D5121" w:rsidRPr="003D4E1A" w:rsidRDefault="001D5121" w:rsidP="00485A8F">
      <w:pPr>
        <w:pStyle w:val="BodyText2"/>
        <w:numPr>
          <w:ilvl w:val="0"/>
          <w:numId w:val="21"/>
        </w:numPr>
        <w:spacing w:before="0" w:after="120"/>
        <w:ind w:left="1276"/>
        <w:rPr>
          <w:rFonts w:ascii="Calibri" w:hAnsi="Calibri" w:cs="Calibri"/>
          <w:sz w:val="22"/>
          <w:szCs w:val="28"/>
          <w:u w:val="single"/>
        </w:rPr>
      </w:pPr>
      <w:r w:rsidRPr="003D4E1A">
        <w:rPr>
          <w:rFonts w:ascii="Calibri" w:hAnsi="Calibri" w:cs="Calibri"/>
          <w:sz w:val="22"/>
          <w:szCs w:val="28"/>
          <w:u w:val="single"/>
        </w:rPr>
        <w:t xml:space="preserve">Pour </w:t>
      </w:r>
      <w:r>
        <w:rPr>
          <w:rFonts w:ascii="Calibri" w:hAnsi="Calibri" w:cs="Calibri"/>
          <w:sz w:val="22"/>
          <w:szCs w:val="28"/>
          <w:u w:val="single"/>
        </w:rPr>
        <w:t>la</w:t>
      </w:r>
      <w:r w:rsidRPr="003D4E1A">
        <w:rPr>
          <w:rFonts w:ascii="Calibri" w:hAnsi="Calibri" w:cs="Calibri"/>
          <w:sz w:val="22"/>
          <w:szCs w:val="28"/>
          <w:u w:val="single"/>
        </w:rPr>
        <w:t xml:space="preserve"> </w:t>
      </w:r>
      <w:r>
        <w:rPr>
          <w:rFonts w:ascii="Calibri" w:hAnsi="Calibri" w:cs="Calibri"/>
          <w:sz w:val="22"/>
          <w:szCs w:val="28"/>
          <w:u w:val="single"/>
        </w:rPr>
        <w:t>partie</w:t>
      </w:r>
      <w:r w:rsidRPr="003D4E1A">
        <w:rPr>
          <w:rFonts w:ascii="Calibri" w:hAnsi="Calibri" w:cs="Calibri"/>
          <w:sz w:val="22"/>
          <w:szCs w:val="28"/>
          <w:u w:val="single"/>
        </w:rPr>
        <w:t xml:space="preserve"> de conception</w:t>
      </w:r>
      <w:r>
        <w:rPr>
          <w:rFonts w:ascii="Calibri" w:hAnsi="Calibri" w:cs="Calibri"/>
          <w:sz w:val="22"/>
          <w:szCs w:val="28"/>
          <w:u w:val="single"/>
        </w:rPr>
        <w:t>-</w:t>
      </w:r>
      <w:r w:rsidRPr="003D4E1A">
        <w:rPr>
          <w:rFonts w:ascii="Calibri" w:hAnsi="Calibri" w:cs="Calibri"/>
          <w:sz w:val="22"/>
          <w:szCs w:val="28"/>
          <w:u w:val="single"/>
        </w:rPr>
        <w:t xml:space="preserve"> réalisation </w:t>
      </w:r>
      <w:r>
        <w:rPr>
          <w:rFonts w:ascii="Calibri" w:hAnsi="Calibri" w:cs="Calibri"/>
          <w:sz w:val="22"/>
          <w:szCs w:val="28"/>
          <w:u w:val="single"/>
        </w:rPr>
        <w:t>et la partie appel d’offres</w:t>
      </w:r>
      <w:r w:rsidRPr="003D4E1A">
        <w:rPr>
          <w:rFonts w:ascii="Calibri" w:hAnsi="Calibri" w:cs="Calibri"/>
          <w:sz w:val="22"/>
          <w:szCs w:val="28"/>
          <w:u w:val="single"/>
        </w:rPr>
        <w:t>:</w:t>
      </w:r>
    </w:p>
    <w:p w:rsidR="001D5121" w:rsidRPr="003D4E1A" w:rsidRDefault="001D5121" w:rsidP="00EB3008">
      <w:pPr>
        <w:ind w:left="720"/>
        <w:jc w:val="both"/>
        <w:rPr>
          <w:rFonts w:ascii="Calibri" w:hAnsi="Calibri" w:cs="Calibri"/>
          <w:sz w:val="22"/>
          <w:szCs w:val="22"/>
        </w:rPr>
      </w:pPr>
      <w:r w:rsidRPr="003D4E1A">
        <w:rPr>
          <w:rFonts w:ascii="Calibri" w:hAnsi="Calibri" w:cs="Calibri"/>
          <w:sz w:val="22"/>
          <w:szCs w:val="28"/>
        </w:rPr>
        <w:t xml:space="preserve">Les ouvrages figurant dans le détail estimatif et relatifs aux travaux d’équipement, sont </w:t>
      </w:r>
      <w:r w:rsidRPr="003D4E1A">
        <w:rPr>
          <w:rFonts w:ascii="Calibri" w:hAnsi="Calibri" w:cs="Calibri"/>
          <w:sz w:val="22"/>
          <w:szCs w:val="28"/>
        </w:rPr>
        <w:br/>
        <w:t>« clé en mains ».</w:t>
      </w:r>
    </w:p>
    <w:p w:rsidR="001D5121" w:rsidRPr="003D4E1A" w:rsidRDefault="001D5121" w:rsidP="00EB3008">
      <w:pPr>
        <w:spacing w:before="120"/>
        <w:ind w:left="720"/>
        <w:jc w:val="both"/>
        <w:rPr>
          <w:rFonts w:ascii="Calibri" w:hAnsi="Calibri" w:cs="Calibri"/>
          <w:sz w:val="22"/>
          <w:szCs w:val="22"/>
        </w:rPr>
      </w:pPr>
      <w:r w:rsidRPr="003D4E1A">
        <w:rPr>
          <w:rFonts w:ascii="Calibri" w:hAnsi="Calibri" w:cs="Calibri"/>
          <w:sz w:val="22"/>
          <w:szCs w:val="22"/>
        </w:rPr>
        <w:t>Ces travaux comprennent la fourniture, le transport, le montage et les essais des équipements. Le règlement sera effectué selon les phases technico-administratives successives d’exécution du marché et sous les conditions suivantes :</w:t>
      </w:r>
    </w:p>
    <w:p w:rsidR="001D5121" w:rsidRPr="003D4E1A" w:rsidRDefault="001D5121" w:rsidP="00EB3008">
      <w:pPr>
        <w:spacing w:before="120"/>
        <w:ind w:left="720"/>
        <w:jc w:val="both"/>
        <w:rPr>
          <w:rFonts w:ascii="Calibri" w:hAnsi="Calibri" w:cs="Calibri"/>
          <w:sz w:val="22"/>
          <w:szCs w:val="22"/>
        </w:rPr>
      </w:pPr>
      <w:r w:rsidRPr="003D4E1A">
        <w:rPr>
          <w:rFonts w:ascii="Calibri" w:hAnsi="Calibri" w:cs="Calibri"/>
          <w:sz w:val="22"/>
          <w:szCs w:val="22"/>
        </w:rPr>
        <w:t xml:space="preserve">Pour la </w:t>
      </w:r>
      <w:r w:rsidRPr="003D4E1A">
        <w:rPr>
          <w:rFonts w:ascii="Calibri" w:hAnsi="Calibri" w:cs="Calibri"/>
          <w:b/>
          <w:bCs/>
          <w:sz w:val="22"/>
          <w:szCs w:val="22"/>
        </w:rPr>
        <w:t>fourniture et le transport</w:t>
      </w:r>
      <w:r w:rsidRPr="003D4E1A">
        <w:rPr>
          <w:rFonts w:ascii="Calibri" w:hAnsi="Calibri" w:cs="Calibri"/>
          <w:sz w:val="22"/>
          <w:szCs w:val="22"/>
        </w:rPr>
        <w:t> (non compris les pièces de rechange) :</w:t>
      </w:r>
    </w:p>
    <w:p w:rsidR="001D5121" w:rsidRPr="003D4E1A" w:rsidRDefault="001D5121" w:rsidP="00EB3008">
      <w:pPr>
        <w:widowControl w:val="0"/>
        <w:numPr>
          <w:ilvl w:val="0"/>
          <w:numId w:val="20"/>
        </w:numPr>
        <w:spacing w:before="120"/>
        <w:jc w:val="both"/>
        <w:rPr>
          <w:rFonts w:ascii="Calibri" w:hAnsi="Calibri" w:cs="Calibri"/>
          <w:sz w:val="22"/>
          <w:szCs w:val="22"/>
        </w:rPr>
      </w:pPr>
      <w:r w:rsidRPr="003D4E1A">
        <w:rPr>
          <w:rFonts w:ascii="Calibri" w:hAnsi="Calibri" w:cs="Calibri"/>
          <w:sz w:val="22"/>
          <w:szCs w:val="22"/>
        </w:rPr>
        <w:t xml:space="preserve">40 % du montant des </w:t>
      </w:r>
      <w:r w:rsidRPr="003D4E1A">
        <w:rPr>
          <w:rFonts w:ascii="Calibri" w:hAnsi="Calibri" w:cs="Calibri"/>
          <w:b/>
          <w:bCs/>
          <w:sz w:val="22"/>
          <w:szCs w:val="22"/>
        </w:rPr>
        <w:t>fournitures et transports</w:t>
      </w:r>
      <w:r w:rsidRPr="003D4E1A">
        <w:rPr>
          <w:rFonts w:ascii="Calibri" w:hAnsi="Calibri" w:cs="Calibri"/>
          <w:sz w:val="22"/>
          <w:szCs w:val="22"/>
        </w:rPr>
        <w:t xml:space="preserve"> pour l’équipement considéré à la réception de la totalité du matériel de cet équipement sur site ;</w:t>
      </w:r>
    </w:p>
    <w:p w:rsidR="001D5121" w:rsidRPr="003D4E1A" w:rsidRDefault="001D5121" w:rsidP="00EB3008">
      <w:pPr>
        <w:widowControl w:val="0"/>
        <w:numPr>
          <w:ilvl w:val="0"/>
          <w:numId w:val="20"/>
        </w:numPr>
        <w:spacing w:before="120"/>
        <w:jc w:val="both"/>
        <w:rPr>
          <w:rFonts w:ascii="Calibri" w:hAnsi="Calibri" w:cs="Calibri"/>
          <w:sz w:val="22"/>
          <w:szCs w:val="22"/>
        </w:rPr>
      </w:pPr>
      <w:r w:rsidRPr="003D4E1A">
        <w:rPr>
          <w:rFonts w:ascii="Calibri" w:hAnsi="Calibri" w:cs="Calibri"/>
          <w:sz w:val="22"/>
          <w:szCs w:val="22"/>
        </w:rPr>
        <w:t xml:space="preserve">30 % du montant des </w:t>
      </w:r>
      <w:r w:rsidRPr="003D4E1A">
        <w:rPr>
          <w:rFonts w:ascii="Calibri" w:hAnsi="Calibri" w:cs="Calibri"/>
          <w:b/>
          <w:bCs/>
          <w:sz w:val="22"/>
          <w:szCs w:val="22"/>
        </w:rPr>
        <w:t>fournitures et transports</w:t>
      </w:r>
      <w:r w:rsidRPr="003D4E1A">
        <w:rPr>
          <w:rFonts w:ascii="Calibri" w:hAnsi="Calibri" w:cs="Calibri"/>
          <w:sz w:val="22"/>
          <w:szCs w:val="22"/>
        </w:rPr>
        <w:t xml:space="preserve"> pour l’équipement considéré à la fin du montage de cet équipement ;</w:t>
      </w:r>
    </w:p>
    <w:p w:rsidR="001D5121" w:rsidRPr="003D4E1A" w:rsidRDefault="001D5121" w:rsidP="00EB3008">
      <w:pPr>
        <w:widowControl w:val="0"/>
        <w:numPr>
          <w:ilvl w:val="0"/>
          <w:numId w:val="20"/>
        </w:numPr>
        <w:spacing w:before="120"/>
        <w:jc w:val="both"/>
        <w:rPr>
          <w:rFonts w:ascii="Calibri" w:hAnsi="Calibri" w:cs="Calibri"/>
          <w:sz w:val="22"/>
          <w:szCs w:val="22"/>
        </w:rPr>
      </w:pPr>
      <w:r w:rsidRPr="003D4E1A">
        <w:rPr>
          <w:rFonts w:ascii="Calibri" w:hAnsi="Calibri" w:cs="Calibri"/>
          <w:sz w:val="22"/>
          <w:szCs w:val="22"/>
        </w:rPr>
        <w:t xml:space="preserve">20 % du montant des </w:t>
      </w:r>
      <w:r w:rsidRPr="003D4E1A">
        <w:rPr>
          <w:rFonts w:ascii="Calibri" w:hAnsi="Calibri" w:cs="Calibri"/>
          <w:b/>
          <w:bCs/>
          <w:sz w:val="22"/>
          <w:szCs w:val="22"/>
        </w:rPr>
        <w:t>fournitures et transports</w:t>
      </w:r>
      <w:r w:rsidRPr="003D4E1A">
        <w:rPr>
          <w:rFonts w:ascii="Calibri" w:hAnsi="Calibri" w:cs="Calibri"/>
          <w:sz w:val="22"/>
          <w:szCs w:val="22"/>
        </w:rPr>
        <w:t xml:space="preserve"> à la fin de la mise en service semi industrielle ;</w:t>
      </w:r>
    </w:p>
    <w:p w:rsidR="001D5121" w:rsidRPr="003D4E1A" w:rsidRDefault="001D5121" w:rsidP="00EB3008">
      <w:pPr>
        <w:widowControl w:val="0"/>
        <w:numPr>
          <w:ilvl w:val="0"/>
          <w:numId w:val="20"/>
        </w:numPr>
        <w:spacing w:before="120"/>
        <w:rPr>
          <w:rFonts w:ascii="Calibri" w:hAnsi="Calibri" w:cs="Calibri"/>
          <w:sz w:val="22"/>
          <w:szCs w:val="22"/>
        </w:rPr>
      </w:pPr>
      <w:r w:rsidRPr="003D4E1A">
        <w:rPr>
          <w:rFonts w:ascii="Calibri" w:hAnsi="Calibri" w:cs="Calibri"/>
          <w:sz w:val="22"/>
          <w:szCs w:val="22"/>
        </w:rPr>
        <w:t>Le solde à la réception provisoire du marché.</w:t>
      </w:r>
    </w:p>
    <w:p w:rsidR="001D5121" w:rsidRPr="003D4E1A" w:rsidRDefault="001D5121" w:rsidP="00EB3008">
      <w:pPr>
        <w:spacing w:before="120"/>
        <w:ind w:left="720"/>
        <w:jc w:val="both"/>
        <w:rPr>
          <w:rFonts w:ascii="Calibri" w:hAnsi="Calibri" w:cs="Calibri"/>
          <w:sz w:val="22"/>
          <w:szCs w:val="22"/>
        </w:rPr>
      </w:pPr>
      <w:r w:rsidRPr="003D4E1A">
        <w:rPr>
          <w:rFonts w:ascii="Calibri" w:hAnsi="Calibri" w:cs="Calibri"/>
          <w:sz w:val="22"/>
          <w:szCs w:val="22"/>
        </w:rPr>
        <w:t xml:space="preserve">Pour le </w:t>
      </w:r>
      <w:r w:rsidRPr="003D4E1A">
        <w:rPr>
          <w:rFonts w:ascii="Calibri" w:hAnsi="Calibri" w:cs="Calibri"/>
          <w:b/>
          <w:bCs/>
          <w:sz w:val="22"/>
          <w:szCs w:val="22"/>
        </w:rPr>
        <w:t>montage et les essais</w:t>
      </w:r>
      <w:r w:rsidRPr="003D4E1A">
        <w:rPr>
          <w:rFonts w:ascii="Calibri" w:hAnsi="Calibri" w:cs="Calibri"/>
          <w:sz w:val="22"/>
          <w:szCs w:val="22"/>
        </w:rPr>
        <w:t> : </w:t>
      </w:r>
    </w:p>
    <w:p w:rsidR="001D5121" w:rsidRPr="003D4E1A" w:rsidRDefault="001D5121" w:rsidP="00EB3008">
      <w:pPr>
        <w:widowControl w:val="0"/>
        <w:numPr>
          <w:ilvl w:val="0"/>
          <w:numId w:val="20"/>
        </w:numPr>
        <w:spacing w:before="120"/>
        <w:rPr>
          <w:rFonts w:ascii="Calibri" w:hAnsi="Calibri" w:cs="Calibri"/>
          <w:sz w:val="22"/>
          <w:szCs w:val="22"/>
        </w:rPr>
      </w:pPr>
      <w:r w:rsidRPr="003D4E1A">
        <w:rPr>
          <w:rFonts w:ascii="Calibri" w:hAnsi="Calibri" w:cs="Calibri"/>
          <w:sz w:val="22"/>
          <w:szCs w:val="22"/>
        </w:rPr>
        <w:t xml:space="preserve">50% du montant correspondant aux frais de </w:t>
      </w:r>
      <w:r w:rsidRPr="003D4E1A">
        <w:rPr>
          <w:rFonts w:ascii="Calibri" w:hAnsi="Calibri" w:cs="Calibri"/>
          <w:b/>
          <w:bCs/>
          <w:sz w:val="22"/>
          <w:szCs w:val="22"/>
        </w:rPr>
        <w:t>montage et des essais</w:t>
      </w:r>
      <w:r w:rsidRPr="003D4E1A">
        <w:rPr>
          <w:rFonts w:ascii="Calibri" w:hAnsi="Calibri" w:cs="Calibri"/>
          <w:sz w:val="22"/>
          <w:szCs w:val="22"/>
        </w:rPr>
        <w:t xml:space="preserve"> pour l’ouvrage considéré à la fin du montage des équipements de cet ouvrage ;  </w:t>
      </w:r>
    </w:p>
    <w:p w:rsidR="001D5121" w:rsidRPr="003D4E1A" w:rsidRDefault="001D5121" w:rsidP="00485A8F">
      <w:pPr>
        <w:widowControl w:val="0"/>
        <w:numPr>
          <w:ilvl w:val="0"/>
          <w:numId w:val="20"/>
        </w:numPr>
        <w:spacing w:before="120" w:after="240"/>
        <w:ind w:left="1378" w:hanging="357"/>
        <w:rPr>
          <w:rFonts w:ascii="Calibri" w:hAnsi="Calibri" w:cs="Calibri"/>
          <w:sz w:val="22"/>
          <w:szCs w:val="22"/>
        </w:rPr>
      </w:pPr>
      <w:r w:rsidRPr="003D4E1A">
        <w:rPr>
          <w:rFonts w:ascii="Calibri" w:hAnsi="Calibri" w:cs="Calibri"/>
          <w:sz w:val="22"/>
          <w:szCs w:val="22"/>
        </w:rPr>
        <w:t xml:space="preserve">50% du montant correspondant aux frais de </w:t>
      </w:r>
      <w:r w:rsidRPr="003D4E1A">
        <w:rPr>
          <w:rFonts w:ascii="Calibri" w:hAnsi="Calibri" w:cs="Calibri"/>
          <w:b/>
          <w:bCs/>
          <w:sz w:val="22"/>
          <w:szCs w:val="22"/>
        </w:rPr>
        <w:t>montage et des essais</w:t>
      </w:r>
      <w:r w:rsidRPr="003D4E1A">
        <w:rPr>
          <w:rFonts w:ascii="Calibri" w:hAnsi="Calibri" w:cs="Calibri"/>
          <w:sz w:val="22"/>
          <w:szCs w:val="22"/>
        </w:rPr>
        <w:t xml:space="preserve"> à la réception provisoire du marché.</w:t>
      </w:r>
    </w:p>
    <w:p w:rsidR="001D5121" w:rsidRPr="003D4E1A" w:rsidRDefault="001D5121" w:rsidP="00EB3008">
      <w:pPr>
        <w:pStyle w:val="Heading2"/>
      </w:pPr>
      <w:bookmarkStart w:id="141" w:name="_Toc379367205"/>
      <w:r w:rsidRPr="003D4E1A">
        <w:t>Article 53.</w:t>
      </w:r>
      <w:r w:rsidRPr="003D4E1A">
        <w:tab/>
      </w:r>
      <w:r w:rsidRPr="003D4E1A">
        <w:tab/>
      </w:r>
      <w:bookmarkStart w:id="142" w:name="_Toc358979846"/>
      <w:bookmarkStart w:id="143" w:name="_Toc358979847"/>
      <w:bookmarkStart w:id="144" w:name="_Toc358979848"/>
      <w:bookmarkStart w:id="145" w:name="_Toc358977926"/>
      <w:bookmarkEnd w:id="142"/>
      <w:bookmarkEnd w:id="143"/>
      <w:bookmarkEnd w:id="144"/>
      <w:r w:rsidRPr="003D4E1A">
        <w:t>Révision des prix</w:t>
      </w:r>
      <w:bookmarkEnd w:id="145"/>
      <w:bookmarkEnd w:id="141"/>
    </w:p>
    <w:p w:rsidR="001D5121" w:rsidRPr="003D4E1A" w:rsidRDefault="001D5121" w:rsidP="00EB3008">
      <w:pPr>
        <w:pStyle w:val="BodyTextIndent"/>
        <w:spacing w:before="60"/>
        <w:ind w:left="1440"/>
        <w:jc w:val="both"/>
        <w:rPr>
          <w:rFonts w:ascii="Calibri" w:hAnsi="Calibri" w:cs="Arial"/>
          <w:sz w:val="22"/>
        </w:rPr>
      </w:pPr>
      <w:r w:rsidRPr="003D4E1A">
        <w:rPr>
          <w:rFonts w:ascii="Calibri" w:hAnsi="Calibri" w:cs="Arial"/>
          <w:sz w:val="22"/>
        </w:rPr>
        <w:t>Les prix du marché sont fermes et non révisables.</w:t>
      </w:r>
    </w:p>
    <w:p w:rsidR="001D5121" w:rsidRPr="003D4E1A" w:rsidRDefault="001D5121" w:rsidP="00EB3008">
      <w:pPr>
        <w:pStyle w:val="Heading2"/>
      </w:pPr>
      <w:bookmarkStart w:id="146" w:name="_Toc379367206"/>
      <w:r w:rsidRPr="003D4E1A">
        <w:t>Article 54.</w:t>
      </w:r>
      <w:r w:rsidRPr="003D4E1A">
        <w:tab/>
      </w:r>
      <w:r w:rsidRPr="003D4E1A">
        <w:tab/>
        <w:t>Garanties financières</w:t>
      </w:r>
      <w:bookmarkEnd w:id="146"/>
    </w:p>
    <w:p w:rsidR="001D5121" w:rsidRPr="003D4E1A" w:rsidRDefault="001D5121" w:rsidP="00EB3008">
      <w:pPr>
        <w:spacing w:after="120"/>
        <w:rPr>
          <w:rFonts w:ascii="Calibri" w:hAnsi="Calibri" w:cs="Arial"/>
          <w:sz w:val="22"/>
          <w:szCs w:val="20"/>
        </w:rPr>
      </w:pPr>
      <w:bookmarkStart w:id="147" w:name="_GoBack"/>
      <w:bookmarkStart w:id="148" w:name="_Toc358977931"/>
      <w:bookmarkStart w:id="149" w:name="_Toc358979856"/>
      <w:bookmarkEnd w:id="147"/>
      <w:r w:rsidRPr="003D4E1A">
        <w:rPr>
          <w:rFonts w:ascii="Calibri" w:hAnsi="Calibri" w:cs="Arial"/>
          <w:sz w:val="22"/>
          <w:szCs w:val="20"/>
        </w:rPr>
        <w:t>Les dispositions de l’article 54 du CCAFG s’appliquent.</w:t>
      </w:r>
    </w:p>
    <w:p w:rsidR="001D5121" w:rsidRPr="003D4E1A" w:rsidRDefault="001D5121" w:rsidP="00EB3008">
      <w:pPr>
        <w:pStyle w:val="Heading2"/>
      </w:pPr>
      <w:bookmarkStart w:id="150" w:name="_Toc379367207"/>
      <w:r w:rsidRPr="003D4E1A">
        <w:t>54.1</w:t>
      </w:r>
      <w:r w:rsidRPr="003D4E1A">
        <w:tab/>
        <w:t>Cautionnement provisoire et cautionnement définitif</w:t>
      </w:r>
      <w:bookmarkEnd w:id="148"/>
      <w:bookmarkEnd w:id="149"/>
      <w:bookmarkEnd w:id="150"/>
      <w:r w:rsidRPr="003D4E1A">
        <w:t xml:space="preserve"> </w:t>
      </w:r>
    </w:p>
    <w:p w:rsidR="001D5121" w:rsidRDefault="001D5121" w:rsidP="00086B2A">
      <w:pPr>
        <w:spacing w:after="120"/>
        <w:rPr>
          <w:rFonts w:ascii="Calibri" w:hAnsi="Calibri" w:cs="Arial"/>
          <w:sz w:val="22"/>
          <w:szCs w:val="20"/>
        </w:rPr>
      </w:pPr>
      <w:r w:rsidRPr="00086B2A">
        <w:rPr>
          <w:rFonts w:ascii="Calibri" w:hAnsi="Calibri" w:cs="Arial"/>
          <w:sz w:val="22"/>
          <w:szCs w:val="20"/>
        </w:rPr>
        <w:t>Le montant du cautionnement provisoire est fixé à  (1 325 400,00 DH) Un Million Trois Cent Vingt-Cinq Mille Quatre Cents dirhams ou son équivalent en devise librement convertible.</w:t>
      </w:r>
    </w:p>
    <w:p w:rsidR="001D5121" w:rsidRPr="003D4E1A" w:rsidRDefault="001D5121" w:rsidP="00EB3008">
      <w:pPr>
        <w:pStyle w:val="Heading2"/>
      </w:pPr>
      <w:bookmarkStart w:id="151" w:name="_Toc379367208"/>
      <w:r w:rsidRPr="003D4E1A">
        <w:t>54.3. Autres garanties</w:t>
      </w:r>
      <w:bookmarkEnd w:id="151"/>
    </w:p>
    <w:p w:rsidR="001D5121" w:rsidRPr="003D4E1A" w:rsidRDefault="001D5121" w:rsidP="00EB3008">
      <w:pPr>
        <w:pStyle w:val="BodyText3"/>
        <w:keepNext w:val="0"/>
        <w:keepLines/>
        <w:spacing w:before="0" w:after="120"/>
        <w:rPr>
          <w:rFonts w:ascii="Calibri" w:hAnsi="Calibri" w:cs="Arial"/>
          <w:color w:val="auto"/>
          <w:sz w:val="22"/>
          <w:szCs w:val="22"/>
        </w:rPr>
      </w:pPr>
      <w:r w:rsidRPr="003D4E1A">
        <w:rPr>
          <w:rFonts w:ascii="Calibri" w:hAnsi="Calibri" w:cs="Arial"/>
          <w:color w:val="auto"/>
          <w:sz w:val="22"/>
          <w:szCs w:val="22"/>
        </w:rPr>
        <w:t>Toutes les garanties financières (Cautionnement définitif, caution pour la restitution d’acompte, caution pour la retenue de garantie, etc…), sont à dresser payable à :</w:t>
      </w:r>
    </w:p>
    <w:p w:rsidR="001D5121" w:rsidRPr="003D4E1A" w:rsidRDefault="001D5121" w:rsidP="00EB3008">
      <w:pPr>
        <w:pStyle w:val="BodyText3"/>
        <w:keepNext w:val="0"/>
        <w:keepLines/>
        <w:spacing w:before="0" w:after="120"/>
        <w:rPr>
          <w:rFonts w:ascii="Calibri" w:hAnsi="Calibri" w:cs="Arial"/>
          <w:color w:val="auto"/>
          <w:sz w:val="22"/>
          <w:szCs w:val="22"/>
        </w:rPr>
      </w:pPr>
      <w:r w:rsidRPr="003D4E1A">
        <w:rPr>
          <w:rFonts w:ascii="Calibri" w:hAnsi="Calibri" w:cs="Arial"/>
          <w:color w:val="auto"/>
          <w:sz w:val="22"/>
          <w:szCs w:val="22"/>
        </w:rPr>
        <w:t>la KFW, Frankfurt am Main (BIC: KFWIDEFF, BLZ 500 204 00), compte no. 38 000 000 00 (IBAN : DE53 5002 0400 3800 0000 00), pour la partie payable en Euro</w:t>
      </w:r>
    </w:p>
    <w:p w:rsidR="001D5121" w:rsidRPr="003D4E1A" w:rsidRDefault="001D5121" w:rsidP="00EB3008">
      <w:pPr>
        <w:pStyle w:val="BodyText3"/>
        <w:keepNext w:val="0"/>
        <w:keepLines/>
        <w:spacing w:before="0" w:after="120"/>
        <w:rPr>
          <w:rFonts w:ascii="Calibri" w:hAnsi="Calibri" w:cs="Arial"/>
          <w:color w:val="auto"/>
          <w:sz w:val="22"/>
          <w:szCs w:val="22"/>
        </w:rPr>
      </w:pPr>
      <w:r w:rsidRPr="003D4E1A">
        <w:rPr>
          <w:rFonts w:ascii="Calibri" w:hAnsi="Calibri" w:cs="Arial"/>
          <w:color w:val="auto"/>
          <w:sz w:val="22"/>
          <w:szCs w:val="22"/>
        </w:rPr>
        <w:t>l’ONEE - BRANCHE EAU,  dans un compte spécial, pour la partie payable en MAD.</w:t>
      </w:r>
    </w:p>
    <w:p w:rsidR="001D5121" w:rsidRPr="003D4E1A" w:rsidRDefault="001D5121" w:rsidP="00EB3008">
      <w:pPr>
        <w:pStyle w:val="Heading2"/>
      </w:pPr>
      <w:bookmarkStart w:id="152" w:name="_Toc379367209"/>
      <w:bookmarkStart w:id="153" w:name="_Toc358977939"/>
      <w:r w:rsidRPr="003D4E1A">
        <w:t>CHAPITRE VI  -  RÉSILIATION DU MARCHE - RÈGLEMENT DES DIFFÉRENTS ET DES LITIGES</w:t>
      </w:r>
      <w:bookmarkEnd w:id="152"/>
    </w:p>
    <w:p w:rsidR="001D5121" w:rsidRPr="003D4E1A" w:rsidRDefault="001D5121" w:rsidP="00EB3008">
      <w:pPr>
        <w:pStyle w:val="Heading2"/>
      </w:pPr>
      <w:bookmarkStart w:id="154" w:name="_Toc379367210"/>
      <w:r w:rsidRPr="003D4E1A">
        <w:t>Article 60.</w:t>
      </w:r>
      <w:r w:rsidRPr="003D4E1A">
        <w:tab/>
        <w:t>Résiliation du marché</w:t>
      </w:r>
      <w:bookmarkEnd w:id="154"/>
    </w:p>
    <w:p w:rsidR="001D5121" w:rsidRPr="003D4E1A" w:rsidRDefault="001D5121" w:rsidP="00EB3008">
      <w:pPr>
        <w:pStyle w:val="BodyText3"/>
        <w:keepNext w:val="0"/>
        <w:keepLines/>
        <w:spacing w:after="240"/>
        <w:rPr>
          <w:rFonts w:ascii="Calibri" w:hAnsi="Calibri" w:cs="Arial"/>
          <w:color w:val="auto"/>
          <w:sz w:val="22"/>
          <w:szCs w:val="22"/>
        </w:rPr>
      </w:pPr>
      <w:r w:rsidRPr="003D4E1A">
        <w:rPr>
          <w:rFonts w:ascii="Calibri" w:hAnsi="Calibri" w:cs="Arial"/>
          <w:color w:val="auto"/>
          <w:sz w:val="22"/>
          <w:szCs w:val="22"/>
        </w:rPr>
        <w:t>Les dispositions de l’article 60 du CCAFG s’appliquent</w:t>
      </w:r>
    </w:p>
    <w:p w:rsidR="001D5121" w:rsidRPr="003D4E1A" w:rsidRDefault="001D5121" w:rsidP="00EB3008">
      <w:pPr>
        <w:pStyle w:val="Heading2"/>
      </w:pPr>
      <w:bookmarkStart w:id="155" w:name="_Toc379367211"/>
      <w:r w:rsidRPr="003D4E1A">
        <w:t>CHAPITRE VII  -  PRESCRIPTIONS DIVERSES</w:t>
      </w:r>
      <w:bookmarkEnd w:id="153"/>
      <w:bookmarkEnd w:id="155"/>
    </w:p>
    <w:p w:rsidR="001D5121" w:rsidRPr="003D4E1A" w:rsidRDefault="001D5121" w:rsidP="00EB3008">
      <w:pPr>
        <w:pStyle w:val="Heading2"/>
      </w:pPr>
      <w:bookmarkStart w:id="156" w:name="_Toc358977940"/>
      <w:bookmarkStart w:id="157" w:name="_Toc379367212"/>
      <w:r w:rsidRPr="003D4E1A">
        <w:t>Article 70.</w:t>
      </w:r>
      <w:r w:rsidRPr="003D4E1A">
        <w:tab/>
      </w:r>
      <w:r w:rsidRPr="003D4E1A">
        <w:tab/>
        <w:t>Dérogations au présent cahier</w:t>
      </w:r>
      <w:bookmarkEnd w:id="156"/>
      <w:bookmarkEnd w:id="157"/>
    </w:p>
    <w:p w:rsidR="001D5121" w:rsidRPr="003D4E1A" w:rsidRDefault="001D5121" w:rsidP="00EB3008">
      <w:pPr>
        <w:pStyle w:val="BodyTextIndent2"/>
        <w:keepLines/>
        <w:ind w:left="0"/>
        <w:rPr>
          <w:rFonts w:ascii="Calibri" w:hAnsi="Calibri" w:cs="Arial"/>
          <w:sz w:val="22"/>
          <w:szCs w:val="20"/>
        </w:rPr>
      </w:pPr>
      <w:r w:rsidRPr="003D4E1A">
        <w:rPr>
          <w:rFonts w:ascii="Calibri" w:hAnsi="Calibri" w:cs="Arial"/>
          <w:sz w:val="22"/>
          <w:szCs w:val="20"/>
        </w:rPr>
        <w:t>Sans objet.</w:t>
      </w:r>
    </w:p>
    <w:p w:rsidR="001D5121" w:rsidRPr="003D4E1A" w:rsidRDefault="001D5121" w:rsidP="00EB3008">
      <w:pPr>
        <w:spacing w:before="120" w:after="120"/>
        <w:ind w:left="578"/>
        <w:jc w:val="center"/>
        <w:rPr>
          <w:rFonts w:ascii="Calibri" w:hAnsi="Calibri" w:cs="Arial"/>
          <w:b/>
          <w:bCs/>
          <w:sz w:val="28"/>
          <w:szCs w:val="28"/>
        </w:rPr>
      </w:pPr>
      <w:r w:rsidRPr="003D4E1A">
        <w:rPr>
          <w:rFonts w:ascii="Calibri" w:hAnsi="Calibri" w:cs="Arial"/>
          <w:b/>
          <w:bCs/>
          <w:sz w:val="28"/>
          <w:szCs w:val="28"/>
        </w:rPr>
        <w:t>Signature du maître d’ouvrage</w:t>
      </w:r>
    </w:p>
    <w:p w:rsidR="001D5121" w:rsidRDefault="001D5121" w:rsidP="00EB3008">
      <w:pPr>
        <w:spacing w:before="120" w:after="120"/>
        <w:ind w:left="578"/>
        <w:jc w:val="center"/>
        <w:rPr>
          <w:rFonts w:ascii="Calibri" w:hAnsi="Calibri"/>
          <w:i/>
          <w:iCs/>
          <w:color w:val="0000FF"/>
          <w:lang w:val="fr-CA"/>
        </w:rPr>
      </w:pPr>
      <w:r>
        <w:rPr>
          <w:rFonts w:ascii="Calibri" w:hAnsi="Calibri"/>
          <w:i/>
          <w:iCs/>
          <w:color w:val="0000FF"/>
          <w:lang w:val="fr-CA"/>
        </w:rPr>
        <w:t>M. FOUAD SELMANI (DAM/E)</w:t>
      </w:r>
    </w:p>
    <w:p w:rsidR="001D5121" w:rsidRDefault="001D5121" w:rsidP="00EB3008">
      <w:pPr>
        <w:spacing w:before="120" w:after="120"/>
        <w:ind w:left="578"/>
        <w:jc w:val="center"/>
        <w:rPr>
          <w:rFonts w:ascii="Calibri" w:hAnsi="Calibri"/>
          <w:i/>
          <w:iCs/>
          <w:color w:val="0000FF"/>
          <w:lang w:val="fr-CA"/>
        </w:rPr>
      </w:pPr>
    </w:p>
    <w:p w:rsidR="001D5121" w:rsidRPr="003D4E1A" w:rsidRDefault="001D5121" w:rsidP="00EB3008">
      <w:pPr>
        <w:spacing w:before="120" w:after="120"/>
        <w:ind w:left="578"/>
        <w:jc w:val="center"/>
        <w:rPr>
          <w:rFonts w:ascii="Calibri" w:hAnsi="Calibri" w:cs="Arial"/>
          <w:b/>
          <w:bCs/>
          <w:sz w:val="28"/>
          <w:szCs w:val="28"/>
        </w:rPr>
      </w:pPr>
      <w:r w:rsidRPr="003D4E1A">
        <w:rPr>
          <w:rFonts w:ascii="Calibri" w:hAnsi="Calibri" w:cs="Arial"/>
          <w:b/>
          <w:bCs/>
          <w:sz w:val="28"/>
          <w:szCs w:val="28"/>
        </w:rPr>
        <w:t xml:space="preserve">Signature de l’entrepreneur </w:t>
      </w:r>
      <w:r w:rsidRPr="003D4E1A">
        <w:rPr>
          <w:rFonts w:ascii="Calibri" w:hAnsi="Calibri" w:cs="Arial"/>
          <w:i/>
          <w:iCs/>
          <w:sz w:val="28"/>
          <w:szCs w:val="28"/>
        </w:rPr>
        <w:t>(avec mention « Lu et approuvé »)</w:t>
      </w:r>
    </w:p>
    <w:p w:rsidR="001D5121" w:rsidRPr="003D4E1A" w:rsidRDefault="001D5121" w:rsidP="00187D2C">
      <w:pPr>
        <w:keepNext/>
        <w:rPr>
          <w:rFonts w:ascii="Calibri" w:hAnsi="Calibri" w:cs="Arial"/>
          <w:caps/>
          <w:szCs w:val="28"/>
        </w:rPr>
      </w:pPr>
    </w:p>
    <w:sectPr w:rsidR="001D5121" w:rsidRPr="003D4E1A" w:rsidSect="00342EEA">
      <w:headerReference w:type="default" r:id="rId8"/>
      <w:footerReference w:type="default" r:id="rId9"/>
      <w:pgSz w:w="11909" w:h="16834" w:code="9"/>
      <w:pgMar w:top="1134" w:right="1134" w:bottom="1134" w:left="1134" w:header="720" w:footer="720" w:gutter="0"/>
      <w:cols w:sep="1"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121" w:rsidRDefault="001D5121">
      <w:r>
        <w:separator/>
      </w:r>
    </w:p>
  </w:endnote>
  <w:endnote w:type="continuationSeparator" w:id="0">
    <w:p w:rsidR="001D5121" w:rsidRDefault="001D51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ndara">
    <w:panose1 w:val="020E0502030303020204"/>
    <w:charset w:val="00"/>
    <w:family w:val="swiss"/>
    <w:pitch w:val="variable"/>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Helv">
    <w:panose1 w:val="020B060402020203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3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121" w:rsidRDefault="001D5121">
    <w:pPr>
      <w:pStyle w:val="Footer"/>
      <w:pBdr>
        <w:bottom w:val="single" w:sz="6" w:space="1" w:color="auto"/>
      </w:pBdr>
      <w:rPr>
        <w:sz w:val="2"/>
        <w:szCs w:val="2"/>
      </w:rPr>
    </w:pPr>
  </w:p>
  <w:p w:rsidR="001D5121" w:rsidRDefault="001D5121" w:rsidP="00D342CE">
    <w:pPr>
      <w:pStyle w:val="Footer"/>
      <w:tabs>
        <w:tab w:val="clear" w:pos="9072"/>
        <w:tab w:val="right" w:pos="8789"/>
      </w:tabs>
      <w:jc w:val="right"/>
    </w:pPr>
    <w:r w:rsidRPr="00256B9B">
      <w:rPr>
        <w:rStyle w:val="PageNumber"/>
        <w:rFonts w:ascii="Calibri" w:hAnsi="Calibri" w:cs="Courier New"/>
        <w:sz w:val="16"/>
        <w:szCs w:val="16"/>
      </w:rPr>
      <w:fldChar w:fldCharType="begin"/>
    </w:r>
    <w:r w:rsidRPr="00256B9B">
      <w:rPr>
        <w:rStyle w:val="PageNumber"/>
        <w:rFonts w:ascii="Calibri" w:hAnsi="Calibri" w:cs="Courier New"/>
        <w:sz w:val="16"/>
        <w:szCs w:val="16"/>
      </w:rPr>
      <w:instrText xml:space="preserve">PAGE  </w:instrText>
    </w:r>
    <w:r w:rsidRPr="00256B9B">
      <w:rPr>
        <w:rStyle w:val="PageNumber"/>
        <w:rFonts w:ascii="Calibri" w:hAnsi="Calibri" w:cs="Courier New"/>
        <w:sz w:val="16"/>
        <w:szCs w:val="16"/>
      </w:rPr>
      <w:fldChar w:fldCharType="separate"/>
    </w:r>
    <w:r>
      <w:rPr>
        <w:rStyle w:val="PageNumber"/>
        <w:rFonts w:ascii="Calibri" w:hAnsi="Calibri" w:cs="Courier New"/>
        <w:sz w:val="16"/>
        <w:szCs w:val="16"/>
      </w:rPr>
      <w:t>11</w:t>
    </w:r>
    <w:r w:rsidRPr="00256B9B">
      <w:rPr>
        <w:rStyle w:val="PageNumber"/>
        <w:rFonts w:ascii="Calibri" w:hAnsi="Calibri" w:cs="Courier New"/>
        <w:sz w:val="16"/>
        <w:szCs w:val="16"/>
      </w:rPr>
      <w:fldChar w:fldCharType="end"/>
    </w:r>
    <w:r w:rsidRPr="00256B9B">
      <w:rPr>
        <w:rStyle w:val="PageNumber"/>
        <w:rFonts w:ascii="Calibri" w:hAnsi="Calibri" w:cs="Courier New"/>
        <w:sz w:val="16"/>
        <w:szCs w:val="16"/>
      </w:rPr>
      <w:t>/</w:t>
    </w:r>
    <w:fldSimple w:instr=" NUMPAGES   \* MERGEFORMAT ">
      <w:r w:rsidRPr="00EA2DF1">
        <w:rPr>
          <w:rStyle w:val="PageNumber"/>
          <w:rFonts w:ascii="Calibri" w:hAnsi="Calibri" w:cs="Courier New"/>
          <w:sz w:val="16"/>
          <w:szCs w:val="16"/>
        </w:rPr>
        <w:t>11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121" w:rsidRDefault="001D5121">
      <w:r>
        <w:separator/>
      </w:r>
    </w:p>
  </w:footnote>
  <w:footnote w:type="continuationSeparator" w:id="0">
    <w:p w:rsidR="001D5121" w:rsidRDefault="001D51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121" w:rsidRPr="005C4C24" w:rsidRDefault="001D5121" w:rsidP="00E425A5">
    <w:pPr>
      <w:pStyle w:val="BlockText"/>
      <w:pBdr>
        <w:bottom w:val="single" w:sz="4" w:space="1" w:color="auto"/>
      </w:pBdr>
      <w:spacing w:after="240"/>
      <w:ind w:left="-142" w:right="-424" w:hanging="11"/>
      <w:rPr>
        <w:rFonts w:ascii="Calibri" w:hAnsi="Calibri" w:cs="Calibri"/>
        <w:b w:val="0"/>
        <w:bCs/>
        <w:sz w:val="18"/>
        <w:szCs w:val="18"/>
      </w:rPr>
    </w:pPr>
    <w:r w:rsidRPr="005C4C24">
      <w:rPr>
        <w:rFonts w:ascii="Calibri" w:hAnsi="Calibri" w:cs="Calibri"/>
        <w:b w:val="0"/>
        <w:bCs/>
        <w:sz w:val="18"/>
        <w:szCs w:val="18"/>
      </w:rPr>
      <w:t xml:space="preserve">Cahier des Clauses Administratives et Financières relatives aux marchés </w:t>
    </w:r>
    <w:r>
      <w:rPr>
        <w:rFonts w:ascii="Calibri" w:hAnsi="Calibri" w:cs="Calibri"/>
        <w:b w:val="0"/>
        <w:bCs/>
        <w:sz w:val="18"/>
        <w:szCs w:val="18"/>
      </w:rPr>
      <w:t>de travaux</w:t>
    </w:r>
    <w:r w:rsidRPr="005C4C24">
      <w:rPr>
        <w:rFonts w:ascii="Calibri" w:hAnsi="Calibri" w:cs="Calibri"/>
        <w:b w:val="0"/>
        <w:bCs/>
        <w:sz w:val="18"/>
        <w:szCs w:val="18"/>
      </w:rPr>
      <w:t xml:space="preserve"> - Clauses Particulières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73C266AC"/>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852695E2"/>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A5A4FFF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C9B85314"/>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7C0689D8"/>
    <w:lvl w:ilvl="0">
      <w:start w:val="1"/>
      <w:numFmt w:val="bullet"/>
      <w:lvlText w:val=""/>
      <w:lvlJc w:val="left"/>
      <w:pPr>
        <w:tabs>
          <w:tab w:val="num" w:pos="360"/>
        </w:tabs>
        <w:ind w:left="360" w:hanging="360"/>
      </w:pPr>
      <w:rPr>
        <w:rFonts w:ascii="Symbol" w:hAnsi="Symbol" w:hint="default"/>
      </w:rPr>
    </w:lvl>
  </w:abstractNum>
  <w:abstractNum w:abstractNumId="5">
    <w:nsid w:val="093F7066"/>
    <w:multiLevelType w:val="hybridMultilevel"/>
    <w:tmpl w:val="2BFA6484"/>
    <w:lvl w:ilvl="0" w:tplc="8042E7F4">
      <w:start w:val="5"/>
      <w:numFmt w:val="bullet"/>
      <w:lvlText w:val=""/>
      <w:lvlJc w:val="left"/>
      <w:pPr>
        <w:tabs>
          <w:tab w:val="num" w:pos="360"/>
        </w:tabs>
        <w:ind w:left="340" w:hanging="340"/>
      </w:pPr>
      <w:rPr>
        <w:rFonts w:ascii="Symbol" w:eastAsia="Times New Roman"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277205D"/>
    <w:multiLevelType w:val="hybridMultilevel"/>
    <w:tmpl w:val="AD5A01B6"/>
    <w:lvl w:ilvl="0" w:tplc="040C0005">
      <w:start w:val="1"/>
      <w:numFmt w:val="bullet"/>
      <w:lvlText w:val=""/>
      <w:lvlJc w:val="left"/>
      <w:pPr>
        <w:tabs>
          <w:tab w:val="num" w:pos="1380"/>
        </w:tabs>
        <w:ind w:left="1380" w:hanging="360"/>
      </w:pPr>
      <w:rPr>
        <w:rFonts w:ascii="Wingdings" w:hAnsi="Wingdings" w:hint="default"/>
      </w:rPr>
    </w:lvl>
    <w:lvl w:ilvl="1" w:tplc="040C0003" w:tentative="1">
      <w:start w:val="1"/>
      <w:numFmt w:val="bullet"/>
      <w:lvlText w:val="o"/>
      <w:lvlJc w:val="left"/>
      <w:pPr>
        <w:tabs>
          <w:tab w:val="num" w:pos="2063"/>
        </w:tabs>
        <w:ind w:left="2063" w:hanging="360"/>
      </w:pPr>
      <w:rPr>
        <w:rFonts w:ascii="Courier New" w:hAnsi="Courier New" w:hint="default"/>
      </w:rPr>
    </w:lvl>
    <w:lvl w:ilvl="2" w:tplc="040C0005" w:tentative="1">
      <w:start w:val="1"/>
      <w:numFmt w:val="bullet"/>
      <w:lvlText w:val=""/>
      <w:lvlJc w:val="left"/>
      <w:pPr>
        <w:tabs>
          <w:tab w:val="num" w:pos="2783"/>
        </w:tabs>
        <w:ind w:left="2783" w:hanging="360"/>
      </w:pPr>
      <w:rPr>
        <w:rFonts w:ascii="Wingdings" w:hAnsi="Wingdings" w:hint="default"/>
      </w:rPr>
    </w:lvl>
    <w:lvl w:ilvl="3" w:tplc="040C0001" w:tentative="1">
      <w:start w:val="1"/>
      <w:numFmt w:val="bullet"/>
      <w:lvlText w:val=""/>
      <w:lvlJc w:val="left"/>
      <w:pPr>
        <w:tabs>
          <w:tab w:val="num" w:pos="3503"/>
        </w:tabs>
        <w:ind w:left="3503" w:hanging="360"/>
      </w:pPr>
      <w:rPr>
        <w:rFonts w:ascii="Symbol" w:hAnsi="Symbol" w:hint="default"/>
      </w:rPr>
    </w:lvl>
    <w:lvl w:ilvl="4" w:tplc="040C0003" w:tentative="1">
      <w:start w:val="1"/>
      <w:numFmt w:val="bullet"/>
      <w:lvlText w:val="o"/>
      <w:lvlJc w:val="left"/>
      <w:pPr>
        <w:tabs>
          <w:tab w:val="num" w:pos="4223"/>
        </w:tabs>
        <w:ind w:left="4223" w:hanging="360"/>
      </w:pPr>
      <w:rPr>
        <w:rFonts w:ascii="Courier New" w:hAnsi="Courier New" w:hint="default"/>
      </w:rPr>
    </w:lvl>
    <w:lvl w:ilvl="5" w:tplc="040C0005" w:tentative="1">
      <w:start w:val="1"/>
      <w:numFmt w:val="bullet"/>
      <w:lvlText w:val=""/>
      <w:lvlJc w:val="left"/>
      <w:pPr>
        <w:tabs>
          <w:tab w:val="num" w:pos="4943"/>
        </w:tabs>
        <w:ind w:left="4943" w:hanging="360"/>
      </w:pPr>
      <w:rPr>
        <w:rFonts w:ascii="Wingdings" w:hAnsi="Wingdings" w:hint="default"/>
      </w:rPr>
    </w:lvl>
    <w:lvl w:ilvl="6" w:tplc="040C0001" w:tentative="1">
      <w:start w:val="1"/>
      <w:numFmt w:val="bullet"/>
      <w:lvlText w:val=""/>
      <w:lvlJc w:val="left"/>
      <w:pPr>
        <w:tabs>
          <w:tab w:val="num" w:pos="5663"/>
        </w:tabs>
        <w:ind w:left="5663" w:hanging="360"/>
      </w:pPr>
      <w:rPr>
        <w:rFonts w:ascii="Symbol" w:hAnsi="Symbol" w:hint="default"/>
      </w:rPr>
    </w:lvl>
    <w:lvl w:ilvl="7" w:tplc="040C0003" w:tentative="1">
      <w:start w:val="1"/>
      <w:numFmt w:val="bullet"/>
      <w:lvlText w:val="o"/>
      <w:lvlJc w:val="left"/>
      <w:pPr>
        <w:tabs>
          <w:tab w:val="num" w:pos="6383"/>
        </w:tabs>
        <w:ind w:left="6383" w:hanging="360"/>
      </w:pPr>
      <w:rPr>
        <w:rFonts w:ascii="Courier New" w:hAnsi="Courier New" w:hint="default"/>
      </w:rPr>
    </w:lvl>
    <w:lvl w:ilvl="8" w:tplc="040C0005" w:tentative="1">
      <w:start w:val="1"/>
      <w:numFmt w:val="bullet"/>
      <w:lvlText w:val=""/>
      <w:lvlJc w:val="left"/>
      <w:pPr>
        <w:tabs>
          <w:tab w:val="num" w:pos="7103"/>
        </w:tabs>
        <w:ind w:left="7103" w:hanging="360"/>
      </w:pPr>
      <w:rPr>
        <w:rFonts w:ascii="Wingdings" w:hAnsi="Wingdings" w:hint="default"/>
      </w:rPr>
    </w:lvl>
  </w:abstractNum>
  <w:abstractNum w:abstractNumId="7">
    <w:nsid w:val="13F966AE"/>
    <w:multiLevelType w:val="singleLevel"/>
    <w:tmpl w:val="DC5E9E0C"/>
    <w:lvl w:ilvl="0">
      <w:start w:val="3"/>
      <w:numFmt w:val="chosung"/>
      <w:lvlText w:val="-"/>
      <w:lvlJc w:val="left"/>
      <w:pPr>
        <w:tabs>
          <w:tab w:val="num" w:pos="1800"/>
        </w:tabs>
        <w:ind w:left="1800" w:hanging="360"/>
      </w:pPr>
      <w:rPr>
        <w:rFonts w:cs="Times New Roman" w:hint="default"/>
      </w:rPr>
    </w:lvl>
  </w:abstractNum>
  <w:abstractNum w:abstractNumId="8">
    <w:nsid w:val="16765E59"/>
    <w:multiLevelType w:val="hybridMultilevel"/>
    <w:tmpl w:val="2BFA6484"/>
    <w:lvl w:ilvl="0" w:tplc="4724A26C">
      <w:start w:val="3"/>
      <w:numFmt w:val="none"/>
      <w:lvlText w:val="-"/>
      <w:lvlJc w:val="left"/>
      <w:pPr>
        <w:tabs>
          <w:tab w:val="num" w:pos="700"/>
        </w:tabs>
        <w:ind w:left="680" w:hanging="340"/>
      </w:pPr>
      <w:rPr>
        <w:rFonts w:cs="Times New Roman" w:hint="default"/>
      </w:rPr>
    </w:lvl>
    <w:lvl w:ilvl="1" w:tplc="4724A26C">
      <w:start w:val="3"/>
      <w:numFmt w:val="none"/>
      <w:lvlText w:val="-"/>
      <w:lvlJc w:val="left"/>
      <w:pPr>
        <w:tabs>
          <w:tab w:val="num" w:pos="1780"/>
        </w:tabs>
        <w:ind w:left="1760" w:hanging="340"/>
      </w:pPr>
      <w:rPr>
        <w:rFonts w:cs="Times New Roman" w:hint="default"/>
      </w:rPr>
    </w:lvl>
    <w:lvl w:ilvl="2" w:tplc="040C0005" w:tentative="1">
      <w:start w:val="1"/>
      <w:numFmt w:val="bullet"/>
      <w:lvlText w:val=""/>
      <w:lvlJc w:val="left"/>
      <w:pPr>
        <w:tabs>
          <w:tab w:val="num" w:pos="2500"/>
        </w:tabs>
        <w:ind w:left="2500" w:hanging="360"/>
      </w:pPr>
      <w:rPr>
        <w:rFonts w:ascii="Wingdings" w:hAnsi="Wingdings" w:hint="default"/>
      </w:rPr>
    </w:lvl>
    <w:lvl w:ilvl="3" w:tplc="040C0001" w:tentative="1">
      <w:start w:val="1"/>
      <w:numFmt w:val="bullet"/>
      <w:lvlText w:val=""/>
      <w:lvlJc w:val="left"/>
      <w:pPr>
        <w:tabs>
          <w:tab w:val="num" w:pos="3220"/>
        </w:tabs>
        <w:ind w:left="3220" w:hanging="360"/>
      </w:pPr>
      <w:rPr>
        <w:rFonts w:ascii="Symbol" w:hAnsi="Symbol" w:hint="default"/>
      </w:rPr>
    </w:lvl>
    <w:lvl w:ilvl="4" w:tplc="040C0003" w:tentative="1">
      <w:start w:val="1"/>
      <w:numFmt w:val="bullet"/>
      <w:lvlText w:val="o"/>
      <w:lvlJc w:val="left"/>
      <w:pPr>
        <w:tabs>
          <w:tab w:val="num" w:pos="3940"/>
        </w:tabs>
        <w:ind w:left="3940" w:hanging="360"/>
      </w:pPr>
      <w:rPr>
        <w:rFonts w:ascii="Courier New" w:hAnsi="Courier New" w:hint="default"/>
      </w:rPr>
    </w:lvl>
    <w:lvl w:ilvl="5" w:tplc="040C0005" w:tentative="1">
      <w:start w:val="1"/>
      <w:numFmt w:val="bullet"/>
      <w:lvlText w:val=""/>
      <w:lvlJc w:val="left"/>
      <w:pPr>
        <w:tabs>
          <w:tab w:val="num" w:pos="4660"/>
        </w:tabs>
        <w:ind w:left="4660" w:hanging="360"/>
      </w:pPr>
      <w:rPr>
        <w:rFonts w:ascii="Wingdings" w:hAnsi="Wingdings" w:hint="default"/>
      </w:rPr>
    </w:lvl>
    <w:lvl w:ilvl="6" w:tplc="040C0001" w:tentative="1">
      <w:start w:val="1"/>
      <w:numFmt w:val="bullet"/>
      <w:lvlText w:val=""/>
      <w:lvlJc w:val="left"/>
      <w:pPr>
        <w:tabs>
          <w:tab w:val="num" w:pos="5380"/>
        </w:tabs>
        <w:ind w:left="5380" w:hanging="360"/>
      </w:pPr>
      <w:rPr>
        <w:rFonts w:ascii="Symbol" w:hAnsi="Symbol" w:hint="default"/>
      </w:rPr>
    </w:lvl>
    <w:lvl w:ilvl="7" w:tplc="040C0003" w:tentative="1">
      <w:start w:val="1"/>
      <w:numFmt w:val="bullet"/>
      <w:lvlText w:val="o"/>
      <w:lvlJc w:val="left"/>
      <w:pPr>
        <w:tabs>
          <w:tab w:val="num" w:pos="6100"/>
        </w:tabs>
        <w:ind w:left="6100" w:hanging="360"/>
      </w:pPr>
      <w:rPr>
        <w:rFonts w:ascii="Courier New" w:hAnsi="Courier New" w:hint="default"/>
      </w:rPr>
    </w:lvl>
    <w:lvl w:ilvl="8" w:tplc="040C0005" w:tentative="1">
      <w:start w:val="1"/>
      <w:numFmt w:val="bullet"/>
      <w:lvlText w:val=""/>
      <w:lvlJc w:val="left"/>
      <w:pPr>
        <w:tabs>
          <w:tab w:val="num" w:pos="6820"/>
        </w:tabs>
        <w:ind w:left="6820" w:hanging="360"/>
      </w:pPr>
      <w:rPr>
        <w:rFonts w:ascii="Wingdings" w:hAnsi="Wingdings" w:hint="default"/>
      </w:rPr>
    </w:lvl>
  </w:abstractNum>
  <w:abstractNum w:abstractNumId="9">
    <w:nsid w:val="210E5906"/>
    <w:multiLevelType w:val="hybridMultilevel"/>
    <w:tmpl w:val="2BFA6484"/>
    <w:lvl w:ilvl="0" w:tplc="8042E7F4">
      <w:start w:val="5"/>
      <w:numFmt w:val="bullet"/>
      <w:lvlText w:val=""/>
      <w:lvlJc w:val="left"/>
      <w:pPr>
        <w:tabs>
          <w:tab w:val="num" w:pos="360"/>
        </w:tabs>
        <w:ind w:left="340" w:hanging="340"/>
      </w:pPr>
      <w:rPr>
        <w:rFonts w:ascii="Symbol" w:eastAsia="Times New Roman" w:hAnsi="Symbol" w:hint="default"/>
      </w:rPr>
    </w:lvl>
    <w:lvl w:ilvl="1" w:tplc="4724A26C">
      <w:start w:val="3"/>
      <w:numFmt w:val="none"/>
      <w:lvlText w:val="-"/>
      <w:lvlJc w:val="left"/>
      <w:pPr>
        <w:tabs>
          <w:tab w:val="num" w:pos="1440"/>
        </w:tabs>
        <w:ind w:left="1420" w:hanging="340"/>
      </w:pPr>
      <w:rPr>
        <w:rFonts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32564469"/>
    <w:multiLevelType w:val="hybridMultilevel"/>
    <w:tmpl w:val="078CDE40"/>
    <w:lvl w:ilvl="0" w:tplc="C7D827F6">
      <w:start w:val="1"/>
      <w:numFmt w:val="bullet"/>
      <w:lvlText w:val=""/>
      <w:lvlJc w:val="left"/>
      <w:pPr>
        <w:ind w:left="1594" w:hanging="360"/>
      </w:pPr>
      <w:rPr>
        <w:rFonts w:ascii="Wingdings" w:hAnsi="Wingdings" w:hint="default"/>
        <w:sz w:val="22"/>
      </w:rPr>
    </w:lvl>
    <w:lvl w:ilvl="1" w:tplc="040C0003" w:tentative="1">
      <w:start w:val="1"/>
      <w:numFmt w:val="bullet"/>
      <w:lvlText w:val="o"/>
      <w:lvlJc w:val="left"/>
      <w:pPr>
        <w:ind w:left="2314" w:hanging="360"/>
      </w:pPr>
      <w:rPr>
        <w:rFonts w:ascii="Courier New" w:hAnsi="Courier New" w:hint="default"/>
      </w:rPr>
    </w:lvl>
    <w:lvl w:ilvl="2" w:tplc="040C0005" w:tentative="1">
      <w:start w:val="1"/>
      <w:numFmt w:val="bullet"/>
      <w:lvlText w:val=""/>
      <w:lvlJc w:val="left"/>
      <w:pPr>
        <w:ind w:left="3034" w:hanging="360"/>
      </w:pPr>
      <w:rPr>
        <w:rFonts w:ascii="Wingdings" w:hAnsi="Wingdings" w:hint="default"/>
      </w:rPr>
    </w:lvl>
    <w:lvl w:ilvl="3" w:tplc="040C0001" w:tentative="1">
      <w:start w:val="1"/>
      <w:numFmt w:val="bullet"/>
      <w:lvlText w:val=""/>
      <w:lvlJc w:val="left"/>
      <w:pPr>
        <w:ind w:left="3754" w:hanging="360"/>
      </w:pPr>
      <w:rPr>
        <w:rFonts w:ascii="Symbol" w:hAnsi="Symbol" w:hint="default"/>
      </w:rPr>
    </w:lvl>
    <w:lvl w:ilvl="4" w:tplc="040C0003" w:tentative="1">
      <w:start w:val="1"/>
      <w:numFmt w:val="bullet"/>
      <w:lvlText w:val="o"/>
      <w:lvlJc w:val="left"/>
      <w:pPr>
        <w:ind w:left="4474" w:hanging="360"/>
      </w:pPr>
      <w:rPr>
        <w:rFonts w:ascii="Courier New" w:hAnsi="Courier New" w:hint="default"/>
      </w:rPr>
    </w:lvl>
    <w:lvl w:ilvl="5" w:tplc="040C0005" w:tentative="1">
      <w:start w:val="1"/>
      <w:numFmt w:val="bullet"/>
      <w:lvlText w:val=""/>
      <w:lvlJc w:val="left"/>
      <w:pPr>
        <w:ind w:left="5194" w:hanging="360"/>
      </w:pPr>
      <w:rPr>
        <w:rFonts w:ascii="Wingdings" w:hAnsi="Wingdings" w:hint="default"/>
      </w:rPr>
    </w:lvl>
    <w:lvl w:ilvl="6" w:tplc="040C0001" w:tentative="1">
      <w:start w:val="1"/>
      <w:numFmt w:val="bullet"/>
      <w:lvlText w:val=""/>
      <w:lvlJc w:val="left"/>
      <w:pPr>
        <w:ind w:left="5914" w:hanging="360"/>
      </w:pPr>
      <w:rPr>
        <w:rFonts w:ascii="Symbol" w:hAnsi="Symbol" w:hint="default"/>
      </w:rPr>
    </w:lvl>
    <w:lvl w:ilvl="7" w:tplc="040C0003" w:tentative="1">
      <w:start w:val="1"/>
      <w:numFmt w:val="bullet"/>
      <w:lvlText w:val="o"/>
      <w:lvlJc w:val="left"/>
      <w:pPr>
        <w:ind w:left="6634" w:hanging="360"/>
      </w:pPr>
      <w:rPr>
        <w:rFonts w:ascii="Courier New" w:hAnsi="Courier New" w:hint="default"/>
      </w:rPr>
    </w:lvl>
    <w:lvl w:ilvl="8" w:tplc="040C0005" w:tentative="1">
      <w:start w:val="1"/>
      <w:numFmt w:val="bullet"/>
      <w:lvlText w:val=""/>
      <w:lvlJc w:val="left"/>
      <w:pPr>
        <w:ind w:left="7354" w:hanging="360"/>
      </w:pPr>
      <w:rPr>
        <w:rFonts w:ascii="Wingdings" w:hAnsi="Wingdings" w:hint="default"/>
      </w:rPr>
    </w:lvl>
  </w:abstractNum>
  <w:abstractNum w:abstractNumId="11">
    <w:nsid w:val="352E5D78"/>
    <w:multiLevelType w:val="hybridMultilevel"/>
    <w:tmpl w:val="D5A6D022"/>
    <w:lvl w:ilvl="0" w:tplc="040C000F">
      <w:start w:val="1"/>
      <w:numFmt w:val="decimal"/>
      <w:lvlText w:val="%1."/>
      <w:lvlJc w:val="left"/>
      <w:pPr>
        <w:tabs>
          <w:tab w:val="num" w:pos="1440"/>
        </w:tabs>
        <w:ind w:left="1440" w:hanging="360"/>
      </w:pPr>
      <w:rPr>
        <w:rFonts w:ascii="Times New Roman" w:hAnsi="Times New Roman" w:cs="Times New Roman"/>
      </w:rPr>
    </w:lvl>
    <w:lvl w:ilvl="1" w:tplc="040C0019">
      <w:start w:val="1"/>
      <w:numFmt w:val="lowerLetter"/>
      <w:lvlText w:val="%2."/>
      <w:lvlJc w:val="left"/>
      <w:pPr>
        <w:tabs>
          <w:tab w:val="num" w:pos="2160"/>
        </w:tabs>
        <w:ind w:left="2160" w:hanging="360"/>
      </w:pPr>
      <w:rPr>
        <w:rFonts w:ascii="Times New Roman" w:hAnsi="Times New Roman" w:cs="Times New Roman"/>
      </w:rPr>
    </w:lvl>
    <w:lvl w:ilvl="2" w:tplc="040C001B">
      <w:start w:val="1"/>
      <w:numFmt w:val="lowerRoman"/>
      <w:lvlText w:val="%3."/>
      <w:lvlJc w:val="right"/>
      <w:pPr>
        <w:tabs>
          <w:tab w:val="num" w:pos="2880"/>
        </w:tabs>
        <w:ind w:left="2880" w:hanging="180"/>
      </w:pPr>
      <w:rPr>
        <w:rFonts w:ascii="Times New Roman" w:hAnsi="Times New Roman" w:cs="Times New Roman"/>
      </w:rPr>
    </w:lvl>
    <w:lvl w:ilvl="3" w:tplc="040C000F">
      <w:start w:val="1"/>
      <w:numFmt w:val="decimal"/>
      <w:lvlText w:val="%4."/>
      <w:lvlJc w:val="left"/>
      <w:pPr>
        <w:tabs>
          <w:tab w:val="num" w:pos="3600"/>
        </w:tabs>
        <w:ind w:left="3600" w:hanging="360"/>
      </w:pPr>
      <w:rPr>
        <w:rFonts w:ascii="Times New Roman" w:hAnsi="Times New Roman" w:cs="Times New Roman"/>
      </w:rPr>
    </w:lvl>
    <w:lvl w:ilvl="4" w:tplc="040C0019">
      <w:start w:val="1"/>
      <w:numFmt w:val="lowerLetter"/>
      <w:lvlText w:val="%5."/>
      <w:lvlJc w:val="left"/>
      <w:pPr>
        <w:tabs>
          <w:tab w:val="num" w:pos="4320"/>
        </w:tabs>
        <w:ind w:left="4320" w:hanging="360"/>
      </w:pPr>
      <w:rPr>
        <w:rFonts w:ascii="Times New Roman" w:hAnsi="Times New Roman" w:cs="Times New Roman"/>
      </w:rPr>
    </w:lvl>
    <w:lvl w:ilvl="5" w:tplc="040C001B">
      <w:start w:val="1"/>
      <w:numFmt w:val="lowerRoman"/>
      <w:lvlText w:val="%6."/>
      <w:lvlJc w:val="right"/>
      <w:pPr>
        <w:tabs>
          <w:tab w:val="num" w:pos="5040"/>
        </w:tabs>
        <w:ind w:left="5040" w:hanging="180"/>
      </w:pPr>
      <w:rPr>
        <w:rFonts w:ascii="Times New Roman" w:hAnsi="Times New Roman" w:cs="Times New Roman"/>
      </w:rPr>
    </w:lvl>
    <w:lvl w:ilvl="6" w:tplc="040C000F">
      <w:start w:val="1"/>
      <w:numFmt w:val="decimal"/>
      <w:lvlText w:val="%7."/>
      <w:lvlJc w:val="left"/>
      <w:pPr>
        <w:tabs>
          <w:tab w:val="num" w:pos="5760"/>
        </w:tabs>
        <w:ind w:left="5760" w:hanging="360"/>
      </w:pPr>
      <w:rPr>
        <w:rFonts w:ascii="Times New Roman" w:hAnsi="Times New Roman" w:cs="Times New Roman"/>
      </w:rPr>
    </w:lvl>
    <w:lvl w:ilvl="7" w:tplc="040C0019">
      <w:start w:val="1"/>
      <w:numFmt w:val="lowerLetter"/>
      <w:lvlText w:val="%8."/>
      <w:lvlJc w:val="left"/>
      <w:pPr>
        <w:tabs>
          <w:tab w:val="num" w:pos="6480"/>
        </w:tabs>
        <w:ind w:left="6480" w:hanging="360"/>
      </w:pPr>
      <w:rPr>
        <w:rFonts w:ascii="Times New Roman" w:hAnsi="Times New Roman" w:cs="Times New Roman"/>
      </w:rPr>
    </w:lvl>
    <w:lvl w:ilvl="8" w:tplc="040C001B">
      <w:start w:val="1"/>
      <w:numFmt w:val="lowerRoman"/>
      <w:lvlText w:val="%9."/>
      <w:lvlJc w:val="right"/>
      <w:pPr>
        <w:tabs>
          <w:tab w:val="num" w:pos="7200"/>
        </w:tabs>
        <w:ind w:left="7200" w:hanging="180"/>
      </w:pPr>
      <w:rPr>
        <w:rFonts w:ascii="Times New Roman" w:hAnsi="Times New Roman" w:cs="Times New Roman"/>
      </w:rPr>
    </w:lvl>
  </w:abstractNum>
  <w:abstractNum w:abstractNumId="12">
    <w:nsid w:val="353153AB"/>
    <w:multiLevelType w:val="hybridMultilevel"/>
    <w:tmpl w:val="15DAC90E"/>
    <w:lvl w:ilvl="0" w:tplc="040C0005">
      <w:start w:val="1"/>
      <w:numFmt w:val="bullet"/>
      <w:lvlText w:val=""/>
      <w:lvlJc w:val="left"/>
      <w:pPr>
        <w:tabs>
          <w:tab w:val="num" w:pos="2200"/>
        </w:tabs>
        <w:ind w:left="2200" w:hanging="360"/>
      </w:pPr>
      <w:rPr>
        <w:rFonts w:ascii="Wingdings" w:hAnsi="Wingdings" w:hint="default"/>
      </w:rPr>
    </w:lvl>
    <w:lvl w:ilvl="1" w:tplc="040C0003" w:tentative="1">
      <w:start w:val="1"/>
      <w:numFmt w:val="bullet"/>
      <w:lvlText w:val="o"/>
      <w:lvlJc w:val="left"/>
      <w:pPr>
        <w:tabs>
          <w:tab w:val="num" w:pos="2920"/>
        </w:tabs>
        <w:ind w:left="2920" w:hanging="360"/>
      </w:pPr>
      <w:rPr>
        <w:rFonts w:ascii="Courier New" w:hAnsi="Courier New" w:hint="default"/>
      </w:rPr>
    </w:lvl>
    <w:lvl w:ilvl="2" w:tplc="040C0005" w:tentative="1">
      <w:start w:val="1"/>
      <w:numFmt w:val="bullet"/>
      <w:lvlText w:val=""/>
      <w:lvlJc w:val="left"/>
      <w:pPr>
        <w:tabs>
          <w:tab w:val="num" w:pos="3640"/>
        </w:tabs>
        <w:ind w:left="3640" w:hanging="360"/>
      </w:pPr>
      <w:rPr>
        <w:rFonts w:ascii="Wingdings" w:hAnsi="Wingdings" w:hint="default"/>
      </w:rPr>
    </w:lvl>
    <w:lvl w:ilvl="3" w:tplc="040C0001">
      <w:start w:val="1"/>
      <w:numFmt w:val="bullet"/>
      <w:lvlText w:val=""/>
      <w:lvlJc w:val="left"/>
      <w:pPr>
        <w:tabs>
          <w:tab w:val="num" w:pos="4360"/>
        </w:tabs>
        <w:ind w:left="4360" w:hanging="360"/>
      </w:pPr>
      <w:rPr>
        <w:rFonts w:ascii="Symbol" w:hAnsi="Symbol" w:hint="default"/>
      </w:rPr>
    </w:lvl>
    <w:lvl w:ilvl="4" w:tplc="040C0003" w:tentative="1">
      <w:start w:val="1"/>
      <w:numFmt w:val="bullet"/>
      <w:lvlText w:val="o"/>
      <w:lvlJc w:val="left"/>
      <w:pPr>
        <w:tabs>
          <w:tab w:val="num" w:pos="5080"/>
        </w:tabs>
        <w:ind w:left="5080" w:hanging="360"/>
      </w:pPr>
      <w:rPr>
        <w:rFonts w:ascii="Courier New" w:hAnsi="Courier New" w:hint="default"/>
      </w:rPr>
    </w:lvl>
    <w:lvl w:ilvl="5" w:tplc="040C0005" w:tentative="1">
      <w:start w:val="1"/>
      <w:numFmt w:val="bullet"/>
      <w:lvlText w:val=""/>
      <w:lvlJc w:val="left"/>
      <w:pPr>
        <w:tabs>
          <w:tab w:val="num" w:pos="5800"/>
        </w:tabs>
        <w:ind w:left="5800" w:hanging="360"/>
      </w:pPr>
      <w:rPr>
        <w:rFonts w:ascii="Wingdings" w:hAnsi="Wingdings" w:hint="default"/>
      </w:rPr>
    </w:lvl>
    <w:lvl w:ilvl="6" w:tplc="040C0001" w:tentative="1">
      <w:start w:val="1"/>
      <w:numFmt w:val="bullet"/>
      <w:lvlText w:val=""/>
      <w:lvlJc w:val="left"/>
      <w:pPr>
        <w:tabs>
          <w:tab w:val="num" w:pos="6520"/>
        </w:tabs>
        <w:ind w:left="6520" w:hanging="360"/>
      </w:pPr>
      <w:rPr>
        <w:rFonts w:ascii="Symbol" w:hAnsi="Symbol" w:hint="default"/>
      </w:rPr>
    </w:lvl>
    <w:lvl w:ilvl="7" w:tplc="040C0003" w:tentative="1">
      <w:start w:val="1"/>
      <w:numFmt w:val="bullet"/>
      <w:lvlText w:val="o"/>
      <w:lvlJc w:val="left"/>
      <w:pPr>
        <w:tabs>
          <w:tab w:val="num" w:pos="7240"/>
        </w:tabs>
        <w:ind w:left="7240" w:hanging="360"/>
      </w:pPr>
      <w:rPr>
        <w:rFonts w:ascii="Courier New" w:hAnsi="Courier New" w:hint="default"/>
      </w:rPr>
    </w:lvl>
    <w:lvl w:ilvl="8" w:tplc="040C0005" w:tentative="1">
      <w:start w:val="1"/>
      <w:numFmt w:val="bullet"/>
      <w:lvlText w:val=""/>
      <w:lvlJc w:val="left"/>
      <w:pPr>
        <w:tabs>
          <w:tab w:val="num" w:pos="7960"/>
        </w:tabs>
        <w:ind w:left="7960" w:hanging="360"/>
      </w:pPr>
      <w:rPr>
        <w:rFonts w:ascii="Wingdings" w:hAnsi="Wingdings" w:hint="default"/>
      </w:rPr>
    </w:lvl>
  </w:abstractNum>
  <w:abstractNum w:abstractNumId="13">
    <w:nsid w:val="40222208"/>
    <w:multiLevelType w:val="hybridMultilevel"/>
    <w:tmpl w:val="2BFA6484"/>
    <w:lvl w:ilvl="0" w:tplc="8042E7F4">
      <w:start w:val="5"/>
      <w:numFmt w:val="bullet"/>
      <w:lvlText w:val=""/>
      <w:lvlJc w:val="left"/>
      <w:pPr>
        <w:tabs>
          <w:tab w:val="num" w:pos="360"/>
        </w:tabs>
        <w:ind w:left="340" w:hanging="340"/>
      </w:pPr>
      <w:rPr>
        <w:rFonts w:ascii="Symbol" w:eastAsia="Times New Roman"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453E105C"/>
    <w:multiLevelType w:val="multilevel"/>
    <w:tmpl w:val="04B87126"/>
    <w:lvl w:ilvl="0">
      <w:start w:val="1"/>
      <w:numFmt w:val="upperRoman"/>
      <w:lvlText w:val="CHAPITRE %1."/>
      <w:lvlJc w:val="left"/>
      <w:pPr>
        <w:tabs>
          <w:tab w:val="num" w:pos="1800"/>
        </w:tabs>
        <w:ind w:left="432" w:hanging="432"/>
      </w:pPr>
      <w:rPr>
        <w:rFonts w:cs="Times New Roman" w:hint="default"/>
      </w:rPr>
    </w:lvl>
    <w:lvl w:ilvl="1">
      <w:start w:val="1"/>
      <w:numFmt w:val="decimal"/>
      <w:lvlText w:val="Article %2."/>
      <w:lvlJc w:val="left"/>
      <w:pPr>
        <w:tabs>
          <w:tab w:val="num" w:pos="1080"/>
        </w:tabs>
        <w:ind w:left="576" w:hanging="576"/>
      </w:pPr>
      <w:rPr>
        <w:rFonts w:cs="Times New Roman" w:hint="default"/>
      </w:rPr>
    </w:lvl>
    <w:lvl w:ilvl="2">
      <w:start w:val="1"/>
      <w:numFmt w:val="decimal"/>
      <w:lvlText w:val="%2.%3."/>
      <w:lvlJc w:val="left"/>
      <w:pPr>
        <w:tabs>
          <w:tab w:val="num" w:pos="720"/>
        </w:tabs>
        <w:ind w:left="720" w:hanging="720"/>
      </w:pPr>
      <w:rPr>
        <w:rFonts w:cs="Times New Roman" w:hint="default"/>
      </w:rPr>
    </w:lvl>
    <w:lvl w:ilvl="3">
      <w:start w:val="1"/>
      <w:numFmt w:val="none"/>
      <w:lvlText w:val=""/>
      <w:lvlJc w:val="left"/>
      <w:pPr>
        <w:tabs>
          <w:tab w:val="num" w:pos="864"/>
        </w:tabs>
        <w:ind w:left="864" w:hanging="864"/>
      </w:pPr>
      <w:rPr>
        <w:rFonts w:cs="Times New Roman" w:hint="default"/>
      </w:rPr>
    </w:lvl>
    <w:lvl w:ilvl="4">
      <w:start w:val="1"/>
      <w:numFmt w:val="none"/>
      <w:lvlText w:val=""/>
      <w:lvlJc w:val="left"/>
      <w:pPr>
        <w:tabs>
          <w:tab w:val="num" w:pos="1008"/>
        </w:tabs>
        <w:ind w:left="1008" w:hanging="1008"/>
      </w:pPr>
      <w:rPr>
        <w:rFonts w:cs="Times New Roman" w:hint="default"/>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5">
    <w:nsid w:val="55DB7870"/>
    <w:multiLevelType w:val="hybridMultilevel"/>
    <w:tmpl w:val="507E61F2"/>
    <w:lvl w:ilvl="0" w:tplc="040C0001">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6">
    <w:nsid w:val="581E3012"/>
    <w:multiLevelType w:val="hybridMultilevel"/>
    <w:tmpl w:val="9CCCD0C6"/>
    <w:lvl w:ilvl="0" w:tplc="4724A26C">
      <w:start w:val="3"/>
      <w:numFmt w:val="none"/>
      <w:lvlText w:val="-"/>
      <w:lvlJc w:val="left"/>
      <w:pPr>
        <w:tabs>
          <w:tab w:val="num" w:pos="700"/>
        </w:tabs>
        <w:ind w:left="680" w:hanging="340"/>
      </w:pPr>
      <w:rPr>
        <w:rFonts w:cs="Times New Roman" w:hint="default"/>
      </w:rPr>
    </w:lvl>
    <w:lvl w:ilvl="1" w:tplc="040C0019" w:tentative="1">
      <w:start w:val="1"/>
      <w:numFmt w:val="lowerLetter"/>
      <w:lvlText w:val="%2."/>
      <w:lvlJc w:val="left"/>
      <w:pPr>
        <w:tabs>
          <w:tab w:val="num" w:pos="1780"/>
        </w:tabs>
        <w:ind w:left="1780" w:hanging="360"/>
      </w:pPr>
      <w:rPr>
        <w:rFonts w:cs="Times New Roman"/>
      </w:rPr>
    </w:lvl>
    <w:lvl w:ilvl="2" w:tplc="040C001B" w:tentative="1">
      <w:start w:val="1"/>
      <w:numFmt w:val="lowerRoman"/>
      <w:lvlText w:val="%3."/>
      <w:lvlJc w:val="right"/>
      <w:pPr>
        <w:tabs>
          <w:tab w:val="num" w:pos="2500"/>
        </w:tabs>
        <w:ind w:left="2500" w:hanging="180"/>
      </w:pPr>
      <w:rPr>
        <w:rFonts w:cs="Times New Roman"/>
      </w:rPr>
    </w:lvl>
    <w:lvl w:ilvl="3" w:tplc="040C000F" w:tentative="1">
      <w:start w:val="1"/>
      <w:numFmt w:val="decimal"/>
      <w:lvlText w:val="%4."/>
      <w:lvlJc w:val="left"/>
      <w:pPr>
        <w:tabs>
          <w:tab w:val="num" w:pos="3220"/>
        </w:tabs>
        <w:ind w:left="3220" w:hanging="360"/>
      </w:pPr>
      <w:rPr>
        <w:rFonts w:cs="Times New Roman"/>
      </w:rPr>
    </w:lvl>
    <w:lvl w:ilvl="4" w:tplc="040C0019" w:tentative="1">
      <w:start w:val="1"/>
      <w:numFmt w:val="lowerLetter"/>
      <w:lvlText w:val="%5."/>
      <w:lvlJc w:val="left"/>
      <w:pPr>
        <w:tabs>
          <w:tab w:val="num" w:pos="3940"/>
        </w:tabs>
        <w:ind w:left="3940" w:hanging="360"/>
      </w:pPr>
      <w:rPr>
        <w:rFonts w:cs="Times New Roman"/>
      </w:rPr>
    </w:lvl>
    <w:lvl w:ilvl="5" w:tplc="040C001B" w:tentative="1">
      <w:start w:val="1"/>
      <w:numFmt w:val="lowerRoman"/>
      <w:lvlText w:val="%6."/>
      <w:lvlJc w:val="right"/>
      <w:pPr>
        <w:tabs>
          <w:tab w:val="num" w:pos="4660"/>
        </w:tabs>
        <w:ind w:left="4660" w:hanging="180"/>
      </w:pPr>
      <w:rPr>
        <w:rFonts w:cs="Times New Roman"/>
      </w:rPr>
    </w:lvl>
    <w:lvl w:ilvl="6" w:tplc="040C000F" w:tentative="1">
      <w:start w:val="1"/>
      <w:numFmt w:val="decimal"/>
      <w:lvlText w:val="%7."/>
      <w:lvlJc w:val="left"/>
      <w:pPr>
        <w:tabs>
          <w:tab w:val="num" w:pos="5380"/>
        </w:tabs>
        <w:ind w:left="5380" w:hanging="360"/>
      </w:pPr>
      <w:rPr>
        <w:rFonts w:cs="Times New Roman"/>
      </w:rPr>
    </w:lvl>
    <w:lvl w:ilvl="7" w:tplc="040C0019" w:tentative="1">
      <w:start w:val="1"/>
      <w:numFmt w:val="lowerLetter"/>
      <w:lvlText w:val="%8."/>
      <w:lvlJc w:val="left"/>
      <w:pPr>
        <w:tabs>
          <w:tab w:val="num" w:pos="6100"/>
        </w:tabs>
        <w:ind w:left="6100" w:hanging="360"/>
      </w:pPr>
      <w:rPr>
        <w:rFonts w:cs="Times New Roman"/>
      </w:rPr>
    </w:lvl>
    <w:lvl w:ilvl="8" w:tplc="040C001B" w:tentative="1">
      <w:start w:val="1"/>
      <w:numFmt w:val="lowerRoman"/>
      <w:lvlText w:val="%9."/>
      <w:lvlJc w:val="right"/>
      <w:pPr>
        <w:tabs>
          <w:tab w:val="num" w:pos="6820"/>
        </w:tabs>
        <w:ind w:left="6820" w:hanging="180"/>
      </w:pPr>
      <w:rPr>
        <w:rFonts w:cs="Times New Roman"/>
      </w:rPr>
    </w:lvl>
  </w:abstractNum>
  <w:abstractNum w:abstractNumId="17">
    <w:nsid w:val="64A73182"/>
    <w:multiLevelType w:val="hybridMultilevel"/>
    <w:tmpl w:val="2BFA6484"/>
    <w:lvl w:ilvl="0" w:tplc="C61E157C">
      <w:start w:val="5"/>
      <w:numFmt w:val="bullet"/>
      <w:lvlText w:val="-"/>
      <w:lvlJc w:val="left"/>
      <w:pPr>
        <w:tabs>
          <w:tab w:val="num" w:pos="700"/>
        </w:tabs>
        <w:ind w:left="680" w:hanging="340"/>
      </w:pPr>
      <w:rPr>
        <w:rFonts w:ascii="Times New Roman" w:eastAsia="Times New Roman" w:hAnsi="Times New Roman" w:hint="default"/>
      </w:rPr>
    </w:lvl>
    <w:lvl w:ilvl="1" w:tplc="4724A26C">
      <w:start w:val="3"/>
      <w:numFmt w:val="none"/>
      <w:lvlText w:val="-"/>
      <w:lvlJc w:val="left"/>
      <w:pPr>
        <w:tabs>
          <w:tab w:val="num" w:pos="1780"/>
        </w:tabs>
        <w:ind w:left="1760" w:hanging="340"/>
      </w:pPr>
      <w:rPr>
        <w:rFonts w:cs="Times New Roman" w:hint="default"/>
      </w:rPr>
    </w:lvl>
    <w:lvl w:ilvl="2" w:tplc="040C0005" w:tentative="1">
      <w:start w:val="1"/>
      <w:numFmt w:val="bullet"/>
      <w:lvlText w:val=""/>
      <w:lvlJc w:val="left"/>
      <w:pPr>
        <w:tabs>
          <w:tab w:val="num" w:pos="2500"/>
        </w:tabs>
        <w:ind w:left="2500" w:hanging="360"/>
      </w:pPr>
      <w:rPr>
        <w:rFonts w:ascii="Wingdings" w:hAnsi="Wingdings" w:hint="default"/>
      </w:rPr>
    </w:lvl>
    <w:lvl w:ilvl="3" w:tplc="040C0001" w:tentative="1">
      <w:start w:val="1"/>
      <w:numFmt w:val="bullet"/>
      <w:lvlText w:val=""/>
      <w:lvlJc w:val="left"/>
      <w:pPr>
        <w:tabs>
          <w:tab w:val="num" w:pos="3220"/>
        </w:tabs>
        <w:ind w:left="3220" w:hanging="360"/>
      </w:pPr>
      <w:rPr>
        <w:rFonts w:ascii="Symbol" w:hAnsi="Symbol" w:hint="default"/>
      </w:rPr>
    </w:lvl>
    <w:lvl w:ilvl="4" w:tplc="040C0003" w:tentative="1">
      <w:start w:val="1"/>
      <w:numFmt w:val="bullet"/>
      <w:lvlText w:val="o"/>
      <w:lvlJc w:val="left"/>
      <w:pPr>
        <w:tabs>
          <w:tab w:val="num" w:pos="3940"/>
        </w:tabs>
        <w:ind w:left="3940" w:hanging="360"/>
      </w:pPr>
      <w:rPr>
        <w:rFonts w:ascii="Courier New" w:hAnsi="Courier New" w:hint="default"/>
      </w:rPr>
    </w:lvl>
    <w:lvl w:ilvl="5" w:tplc="040C0005" w:tentative="1">
      <w:start w:val="1"/>
      <w:numFmt w:val="bullet"/>
      <w:lvlText w:val=""/>
      <w:lvlJc w:val="left"/>
      <w:pPr>
        <w:tabs>
          <w:tab w:val="num" w:pos="4660"/>
        </w:tabs>
        <w:ind w:left="4660" w:hanging="360"/>
      </w:pPr>
      <w:rPr>
        <w:rFonts w:ascii="Wingdings" w:hAnsi="Wingdings" w:hint="default"/>
      </w:rPr>
    </w:lvl>
    <w:lvl w:ilvl="6" w:tplc="040C0001" w:tentative="1">
      <w:start w:val="1"/>
      <w:numFmt w:val="bullet"/>
      <w:lvlText w:val=""/>
      <w:lvlJc w:val="left"/>
      <w:pPr>
        <w:tabs>
          <w:tab w:val="num" w:pos="5380"/>
        </w:tabs>
        <w:ind w:left="5380" w:hanging="360"/>
      </w:pPr>
      <w:rPr>
        <w:rFonts w:ascii="Symbol" w:hAnsi="Symbol" w:hint="default"/>
      </w:rPr>
    </w:lvl>
    <w:lvl w:ilvl="7" w:tplc="040C0003" w:tentative="1">
      <w:start w:val="1"/>
      <w:numFmt w:val="bullet"/>
      <w:lvlText w:val="o"/>
      <w:lvlJc w:val="left"/>
      <w:pPr>
        <w:tabs>
          <w:tab w:val="num" w:pos="6100"/>
        </w:tabs>
        <w:ind w:left="6100" w:hanging="360"/>
      </w:pPr>
      <w:rPr>
        <w:rFonts w:ascii="Courier New" w:hAnsi="Courier New" w:hint="default"/>
      </w:rPr>
    </w:lvl>
    <w:lvl w:ilvl="8" w:tplc="040C0005" w:tentative="1">
      <w:start w:val="1"/>
      <w:numFmt w:val="bullet"/>
      <w:lvlText w:val=""/>
      <w:lvlJc w:val="left"/>
      <w:pPr>
        <w:tabs>
          <w:tab w:val="num" w:pos="6820"/>
        </w:tabs>
        <w:ind w:left="6820" w:hanging="360"/>
      </w:pPr>
      <w:rPr>
        <w:rFonts w:ascii="Wingdings" w:hAnsi="Wingdings" w:hint="default"/>
      </w:rPr>
    </w:lvl>
  </w:abstractNum>
  <w:abstractNum w:abstractNumId="18">
    <w:nsid w:val="6CF95F94"/>
    <w:multiLevelType w:val="multilevel"/>
    <w:tmpl w:val="26945B90"/>
    <w:lvl w:ilvl="0">
      <w:start w:val="1"/>
      <w:numFmt w:val="upperRoman"/>
      <w:lvlText w:val="CHAPITRE %1."/>
      <w:lvlJc w:val="left"/>
      <w:pPr>
        <w:tabs>
          <w:tab w:val="num" w:pos="1800"/>
        </w:tabs>
        <w:ind w:left="432" w:hanging="432"/>
      </w:pPr>
      <w:rPr>
        <w:rFonts w:cs="Times New Roman" w:hint="default"/>
      </w:rPr>
    </w:lvl>
    <w:lvl w:ilvl="1">
      <w:start w:val="1"/>
      <w:numFmt w:val="decimal"/>
      <w:lvlText w:val="Article %2."/>
      <w:lvlJc w:val="left"/>
      <w:pPr>
        <w:tabs>
          <w:tab w:val="num" w:pos="1080"/>
        </w:tabs>
        <w:ind w:left="576" w:hanging="576"/>
      </w:pPr>
      <w:rPr>
        <w:rFonts w:cs="Times New Roman" w:hint="default"/>
      </w:rPr>
    </w:lvl>
    <w:lvl w:ilvl="2">
      <w:start w:val="1"/>
      <w:numFmt w:val="decimal"/>
      <w:lvlText w:val="%2.%3"/>
      <w:lvlJc w:val="left"/>
      <w:pPr>
        <w:tabs>
          <w:tab w:val="num" w:pos="720"/>
        </w:tabs>
        <w:ind w:left="720" w:hanging="720"/>
      </w:pPr>
      <w:rPr>
        <w:rFonts w:cs="Times New Roman" w:hint="default"/>
      </w:rPr>
    </w:lvl>
    <w:lvl w:ilvl="3">
      <w:start w:val="1"/>
      <w:numFmt w:val="none"/>
      <w:lvlText w:val=""/>
      <w:lvlJc w:val="left"/>
      <w:pPr>
        <w:tabs>
          <w:tab w:val="num" w:pos="864"/>
        </w:tabs>
        <w:ind w:left="864" w:hanging="864"/>
      </w:pPr>
      <w:rPr>
        <w:rFonts w:cs="Times New Roman" w:hint="default"/>
      </w:rPr>
    </w:lvl>
    <w:lvl w:ilvl="4">
      <w:start w:val="1"/>
      <w:numFmt w:val="none"/>
      <w:lvlText w:val=""/>
      <w:lvlJc w:val="left"/>
      <w:pPr>
        <w:tabs>
          <w:tab w:val="num" w:pos="1008"/>
        </w:tabs>
        <w:ind w:left="1008" w:hanging="1008"/>
      </w:pPr>
      <w:rPr>
        <w:rFonts w:cs="Times New Roman" w:hint="default"/>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9">
    <w:nsid w:val="766976CD"/>
    <w:multiLevelType w:val="hybridMultilevel"/>
    <w:tmpl w:val="AC828B90"/>
    <w:lvl w:ilvl="0" w:tplc="4BB28242">
      <w:start w:val="5"/>
      <w:numFmt w:val="decimal"/>
      <w:lvlText w:val="%1-"/>
      <w:lvlJc w:val="left"/>
      <w:pPr>
        <w:ind w:left="720" w:hanging="360"/>
      </w:pPr>
      <w:rPr>
        <w:rFonts w:ascii="Calibri" w:hAnsi="Calibri" w:cs="Times New Roman" w:hint="default"/>
      </w:rPr>
    </w:lvl>
    <w:lvl w:ilvl="1" w:tplc="CCE2ACCE">
      <w:start w:val="1"/>
      <w:numFmt w:val="bullet"/>
      <w:lvlText w:val="•"/>
      <w:lvlJc w:val="left"/>
      <w:pPr>
        <w:tabs>
          <w:tab w:val="num" w:pos="1440"/>
        </w:tabs>
        <w:ind w:left="1440" w:hanging="360"/>
      </w:pPr>
      <w:rPr>
        <w:rFonts w:ascii="Candara" w:hAnsi="Candara" w:hint="default"/>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20">
    <w:nsid w:val="7A2238D3"/>
    <w:multiLevelType w:val="hybridMultilevel"/>
    <w:tmpl w:val="63426B2C"/>
    <w:lvl w:ilvl="0" w:tplc="4724A26C">
      <w:start w:val="3"/>
      <w:numFmt w:val="none"/>
      <w:lvlText w:val="-"/>
      <w:lvlJc w:val="left"/>
      <w:pPr>
        <w:tabs>
          <w:tab w:val="num" w:pos="700"/>
        </w:tabs>
        <w:ind w:left="680" w:hanging="340"/>
      </w:pPr>
      <w:rPr>
        <w:rFonts w:cs="Times New Roman" w:hint="default"/>
      </w:rPr>
    </w:lvl>
    <w:lvl w:ilvl="1" w:tplc="040C0019" w:tentative="1">
      <w:start w:val="1"/>
      <w:numFmt w:val="lowerLetter"/>
      <w:lvlText w:val="%2."/>
      <w:lvlJc w:val="left"/>
      <w:pPr>
        <w:tabs>
          <w:tab w:val="num" w:pos="1780"/>
        </w:tabs>
        <w:ind w:left="1780" w:hanging="360"/>
      </w:pPr>
      <w:rPr>
        <w:rFonts w:cs="Times New Roman"/>
      </w:rPr>
    </w:lvl>
    <w:lvl w:ilvl="2" w:tplc="040C001B" w:tentative="1">
      <w:start w:val="1"/>
      <w:numFmt w:val="lowerRoman"/>
      <w:lvlText w:val="%3."/>
      <w:lvlJc w:val="right"/>
      <w:pPr>
        <w:tabs>
          <w:tab w:val="num" w:pos="2500"/>
        </w:tabs>
        <w:ind w:left="2500" w:hanging="180"/>
      </w:pPr>
      <w:rPr>
        <w:rFonts w:cs="Times New Roman"/>
      </w:rPr>
    </w:lvl>
    <w:lvl w:ilvl="3" w:tplc="040C000F" w:tentative="1">
      <w:start w:val="1"/>
      <w:numFmt w:val="decimal"/>
      <w:lvlText w:val="%4."/>
      <w:lvlJc w:val="left"/>
      <w:pPr>
        <w:tabs>
          <w:tab w:val="num" w:pos="3220"/>
        </w:tabs>
        <w:ind w:left="3220" w:hanging="360"/>
      </w:pPr>
      <w:rPr>
        <w:rFonts w:cs="Times New Roman"/>
      </w:rPr>
    </w:lvl>
    <w:lvl w:ilvl="4" w:tplc="040C0019" w:tentative="1">
      <w:start w:val="1"/>
      <w:numFmt w:val="lowerLetter"/>
      <w:lvlText w:val="%5."/>
      <w:lvlJc w:val="left"/>
      <w:pPr>
        <w:tabs>
          <w:tab w:val="num" w:pos="3940"/>
        </w:tabs>
        <w:ind w:left="3940" w:hanging="360"/>
      </w:pPr>
      <w:rPr>
        <w:rFonts w:cs="Times New Roman"/>
      </w:rPr>
    </w:lvl>
    <w:lvl w:ilvl="5" w:tplc="040C001B" w:tentative="1">
      <w:start w:val="1"/>
      <w:numFmt w:val="lowerRoman"/>
      <w:lvlText w:val="%6."/>
      <w:lvlJc w:val="right"/>
      <w:pPr>
        <w:tabs>
          <w:tab w:val="num" w:pos="4660"/>
        </w:tabs>
        <w:ind w:left="4660" w:hanging="180"/>
      </w:pPr>
      <w:rPr>
        <w:rFonts w:cs="Times New Roman"/>
      </w:rPr>
    </w:lvl>
    <w:lvl w:ilvl="6" w:tplc="040C000F" w:tentative="1">
      <w:start w:val="1"/>
      <w:numFmt w:val="decimal"/>
      <w:lvlText w:val="%7."/>
      <w:lvlJc w:val="left"/>
      <w:pPr>
        <w:tabs>
          <w:tab w:val="num" w:pos="5380"/>
        </w:tabs>
        <w:ind w:left="5380" w:hanging="360"/>
      </w:pPr>
      <w:rPr>
        <w:rFonts w:cs="Times New Roman"/>
      </w:rPr>
    </w:lvl>
    <w:lvl w:ilvl="7" w:tplc="040C0019" w:tentative="1">
      <w:start w:val="1"/>
      <w:numFmt w:val="lowerLetter"/>
      <w:lvlText w:val="%8."/>
      <w:lvlJc w:val="left"/>
      <w:pPr>
        <w:tabs>
          <w:tab w:val="num" w:pos="6100"/>
        </w:tabs>
        <w:ind w:left="6100" w:hanging="360"/>
      </w:pPr>
      <w:rPr>
        <w:rFonts w:cs="Times New Roman"/>
      </w:rPr>
    </w:lvl>
    <w:lvl w:ilvl="8" w:tplc="040C001B" w:tentative="1">
      <w:start w:val="1"/>
      <w:numFmt w:val="lowerRoman"/>
      <w:lvlText w:val="%9."/>
      <w:lvlJc w:val="right"/>
      <w:pPr>
        <w:tabs>
          <w:tab w:val="num" w:pos="6820"/>
        </w:tabs>
        <w:ind w:left="6820" w:hanging="180"/>
      </w:pPr>
      <w:rPr>
        <w:rFonts w:cs="Times New Roman"/>
      </w:rPr>
    </w:lvl>
  </w:abstractNum>
  <w:num w:numId="1">
    <w:abstractNumId w:val="4"/>
  </w:num>
  <w:num w:numId="2">
    <w:abstractNumId w:val="3"/>
  </w:num>
  <w:num w:numId="3">
    <w:abstractNumId w:val="2"/>
  </w:num>
  <w:num w:numId="4">
    <w:abstractNumId w:val="1"/>
  </w:num>
  <w:num w:numId="5">
    <w:abstractNumId w:val="0"/>
  </w:num>
  <w:num w:numId="6">
    <w:abstractNumId w:val="4"/>
  </w:num>
  <w:num w:numId="7">
    <w:abstractNumId w:val="3"/>
  </w:num>
  <w:num w:numId="8">
    <w:abstractNumId w:val="2"/>
  </w:num>
  <w:num w:numId="9">
    <w:abstractNumId w:val="1"/>
  </w:num>
  <w:num w:numId="10">
    <w:abstractNumId w:val="0"/>
  </w:num>
  <w:num w:numId="11">
    <w:abstractNumId w:val="4"/>
  </w:num>
  <w:num w:numId="12">
    <w:abstractNumId w:val="3"/>
  </w:num>
  <w:num w:numId="13">
    <w:abstractNumId w:val="2"/>
  </w:num>
  <w:num w:numId="14">
    <w:abstractNumId w:val="1"/>
  </w:num>
  <w:num w:numId="15">
    <w:abstractNumId w:val="0"/>
  </w:num>
  <w:num w:numId="16">
    <w:abstractNumId w:val="7"/>
  </w:num>
  <w:num w:numId="17">
    <w:abstractNumId w:val="18"/>
  </w:num>
  <w:num w:numId="18">
    <w:abstractNumId w:val="14"/>
  </w:num>
  <w:num w:numId="19">
    <w:abstractNumId w:val="14"/>
  </w:num>
  <w:num w:numId="20">
    <w:abstractNumId w:val="6"/>
  </w:num>
  <w:num w:numId="21">
    <w:abstractNumId w:val="10"/>
  </w:num>
  <w:num w:numId="22">
    <w:abstractNumId w:val="15"/>
  </w:num>
  <w:num w:numId="23">
    <w:abstractNumId w:val="11"/>
  </w:num>
  <w:num w:numId="24">
    <w:abstractNumId w:val="12"/>
  </w:num>
  <w:num w:numId="25">
    <w:abstractNumId w:val="19"/>
  </w:num>
  <w:num w:numId="26">
    <w:abstractNumId w:val="17"/>
  </w:num>
  <w:num w:numId="27">
    <w:abstractNumId w:val="5"/>
  </w:num>
  <w:num w:numId="28">
    <w:abstractNumId w:val="13"/>
  </w:num>
  <w:num w:numId="29">
    <w:abstractNumId w:val="9"/>
  </w:num>
  <w:num w:numId="30">
    <w:abstractNumId w:val="8"/>
  </w:num>
  <w:num w:numId="31">
    <w:abstractNumId w:val="16"/>
  </w:num>
  <w:num w:numId="32">
    <w:abstractNumId w:val="2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284"/>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3B3C"/>
    <w:rsid w:val="00000938"/>
    <w:rsid w:val="000026E7"/>
    <w:rsid w:val="0000323C"/>
    <w:rsid w:val="00003EA8"/>
    <w:rsid w:val="00005939"/>
    <w:rsid w:val="00006918"/>
    <w:rsid w:val="000103AB"/>
    <w:rsid w:val="000130A3"/>
    <w:rsid w:val="000144BC"/>
    <w:rsid w:val="00014861"/>
    <w:rsid w:val="00014EB6"/>
    <w:rsid w:val="0001510E"/>
    <w:rsid w:val="000152F5"/>
    <w:rsid w:val="00023FF4"/>
    <w:rsid w:val="00024A9A"/>
    <w:rsid w:val="00024D89"/>
    <w:rsid w:val="00024E89"/>
    <w:rsid w:val="000250FE"/>
    <w:rsid w:val="0002611D"/>
    <w:rsid w:val="0003159C"/>
    <w:rsid w:val="00033C45"/>
    <w:rsid w:val="00036624"/>
    <w:rsid w:val="0003761F"/>
    <w:rsid w:val="00037B32"/>
    <w:rsid w:val="000434DC"/>
    <w:rsid w:val="0004759C"/>
    <w:rsid w:val="00050A8E"/>
    <w:rsid w:val="00050FC3"/>
    <w:rsid w:val="00051FAD"/>
    <w:rsid w:val="0005619F"/>
    <w:rsid w:val="0005674D"/>
    <w:rsid w:val="00057208"/>
    <w:rsid w:val="000612D4"/>
    <w:rsid w:val="000643F4"/>
    <w:rsid w:val="00067140"/>
    <w:rsid w:val="00067C87"/>
    <w:rsid w:val="00070085"/>
    <w:rsid w:val="00073181"/>
    <w:rsid w:val="00074023"/>
    <w:rsid w:val="000747CD"/>
    <w:rsid w:val="00077220"/>
    <w:rsid w:val="00077283"/>
    <w:rsid w:val="000779FA"/>
    <w:rsid w:val="00082AA8"/>
    <w:rsid w:val="000859C3"/>
    <w:rsid w:val="000859E3"/>
    <w:rsid w:val="00085E88"/>
    <w:rsid w:val="00086B2A"/>
    <w:rsid w:val="000876D9"/>
    <w:rsid w:val="00097293"/>
    <w:rsid w:val="000A0C32"/>
    <w:rsid w:val="000A13B4"/>
    <w:rsid w:val="000A39B7"/>
    <w:rsid w:val="000A3B22"/>
    <w:rsid w:val="000A4BD9"/>
    <w:rsid w:val="000A574E"/>
    <w:rsid w:val="000B1C49"/>
    <w:rsid w:val="000B1DEB"/>
    <w:rsid w:val="000B4864"/>
    <w:rsid w:val="000B4E6A"/>
    <w:rsid w:val="000B6C39"/>
    <w:rsid w:val="000B73A1"/>
    <w:rsid w:val="000C14F8"/>
    <w:rsid w:val="000C4F3B"/>
    <w:rsid w:val="000D627C"/>
    <w:rsid w:val="000E1638"/>
    <w:rsid w:val="000E1F3C"/>
    <w:rsid w:val="000E32E4"/>
    <w:rsid w:val="000E588E"/>
    <w:rsid w:val="000E6E39"/>
    <w:rsid w:val="000E70E6"/>
    <w:rsid w:val="000E7426"/>
    <w:rsid w:val="000F00DD"/>
    <w:rsid w:val="000F1880"/>
    <w:rsid w:val="000F666B"/>
    <w:rsid w:val="000F76B4"/>
    <w:rsid w:val="00100A5C"/>
    <w:rsid w:val="00103B10"/>
    <w:rsid w:val="00105F99"/>
    <w:rsid w:val="00114A19"/>
    <w:rsid w:val="00115D51"/>
    <w:rsid w:val="00116603"/>
    <w:rsid w:val="001168B3"/>
    <w:rsid w:val="00117EF2"/>
    <w:rsid w:val="001228FF"/>
    <w:rsid w:val="00123699"/>
    <w:rsid w:val="00126F4B"/>
    <w:rsid w:val="001334E1"/>
    <w:rsid w:val="00134F75"/>
    <w:rsid w:val="001378FA"/>
    <w:rsid w:val="00140D96"/>
    <w:rsid w:val="00142915"/>
    <w:rsid w:val="00144B6C"/>
    <w:rsid w:val="00144F9C"/>
    <w:rsid w:val="001472B4"/>
    <w:rsid w:val="00150D68"/>
    <w:rsid w:val="001526D3"/>
    <w:rsid w:val="001542FA"/>
    <w:rsid w:val="00156511"/>
    <w:rsid w:val="00156A9D"/>
    <w:rsid w:val="00161042"/>
    <w:rsid w:val="0016155D"/>
    <w:rsid w:val="00161E7C"/>
    <w:rsid w:val="00163CBB"/>
    <w:rsid w:val="00164E34"/>
    <w:rsid w:val="001655A0"/>
    <w:rsid w:val="0016688A"/>
    <w:rsid w:val="00166ABF"/>
    <w:rsid w:val="001673D0"/>
    <w:rsid w:val="00167F4E"/>
    <w:rsid w:val="00171893"/>
    <w:rsid w:val="00171CF5"/>
    <w:rsid w:val="00172A3C"/>
    <w:rsid w:val="00174EEB"/>
    <w:rsid w:val="0017665A"/>
    <w:rsid w:val="00176AFB"/>
    <w:rsid w:val="00181D92"/>
    <w:rsid w:val="00182481"/>
    <w:rsid w:val="0018447C"/>
    <w:rsid w:val="00184D08"/>
    <w:rsid w:val="001873CA"/>
    <w:rsid w:val="00187D2C"/>
    <w:rsid w:val="0019013A"/>
    <w:rsid w:val="001904D7"/>
    <w:rsid w:val="001933B6"/>
    <w:rsid w:val="001A0E13"/>
    <w:rsid w:val="001A4168"/>
    <w:rsid w:val="001A4D96"/>
    <w:rsid w:val="001A587A"/>
    <w:rsid w:val="001A6904"/>
    <w:rsid w:val="001A74B6"/>
    <w:rsid w:val="001B0AD1"/>
    <w:rsid w:val="001B3096"/>
    <w:rsid w:val="001B4011"/>
    <w:rsid w:val="001C1638"/>
    <w:rsid w:val="001C2D03"/>
    <w:rsid w:val="001C32A2"/>
    <w:rsid w:val="001C4F36"/>
    <w:rsid w:val="001C6732"/>
    <w:rsid w:val="001C7294"/>
    <w:rsid w:val="001D4EBC"/>
    <w:rsid w:val="001D5121"/>
    <w:rsid w:val="001E1006"/>
    <w:rsid w:val="001E2F5B"/>
    <w:rsid w:val="001E3FBA"/>
    <w:rsid w:val="001E4FD6"/>
    <w:rsid w:val="001F02EE"/>
    <w:rsid w:val="001F3287"/>
    <w:rsid w:val="001F3944"/>
    <w:rsid w:val="001F446F"/>
    <w:rsid w:val="001F5B26"/>
    <w:rsid w:val="001F6D16"/>
    <w:rsid w:val="001F6E27"/>
    <w:rsid w:val="001F7857"/>
    <w:rsid w:val="002031F6"/>
    <w:rsid w:val="00204B3E"/>
    <w:rsid w:val="00205B05"/>
    <w:rsid w:val="00210DFB"/>
    <w:rsid w:val="0021113D"/>
    <w:rsid w:val="0021156F"/>
    <w:rsid w:val="002153FE"/>
    <w:rsid w:val="00217CD0"/>
    <w:rsid w:val="00220BB6"/>
    <w:rsid w:val="00221632"/>
    <w:rsid w:val="002223C5"/>
    <w:rsid w:val="0022246B"/>
    <w:rsid w:val="00223120"/>
    <w:rsid w:val="00224C51"/>
    <w:rsid w:val="00224F6D"/>
    <w:rsid w:val="00225452"/>
    <w:rsid w:val="00225485"/>
    <w:rsid w:val="00225FF2"/>
    <w:rsid w:val="002279EB"/>
    <w:rsid w:val="002331C3"/>
    <w:rsid w:val="0023359A"/>
    <w:rsid w:val="002403B5"/>
    <w:rsid w:val="00240676"/>
    <w:rsid w:val="002419D8"/>
    <w:rsid w:val="00250352"/>
    <w:rsid w:val="00250EDA"/>
    <w:rsid w:val="00254FD4"/>
    <w:rsid w:val="00256B9B"/>
    <w:rsid w:val="00257671"/>
    <w:rsid w:val="00262D78"/>
    <w:rsid w:val="0026314B"/>
    <w:rsid w:val="00264B5C"/>
    <w:rsid w:val="0026539E"/>
    <w:rsid w:val="0026734B"/>
    <w:rsid w:val="002733F9"/>
    <w:rsid w:val="00273CA5"/>
    <w:rsid w:val="00274437"/>
    <w:rsid w:val="00275EC1"/>
    <w:rsid w:val="0028147E"/>
    <w:rsid w:val="00281976"/>
    <w:rsid w:val="00283941"/>
    <w:rsid w:val="00284434"/>
    <w:rsid w:val="00284AC2"/>
    <w:rsid w:val="00285FB2"/>
    <w:rsid w:val="00286130"/>
    <w:rsid w:val="0029041B"/>
    <w:rsid w:val="00290AD9"/>
    <w:rsid w:val="00290C0F"/>
    <w:rsid w:val="002A0832"/>
    <w:rsid w:val="002A0F6F"/>
    <w:rsid w:val="002A489D"/>
    <w:rsid w:val="002A5DD1"/>
    <w:rsid w:val="002A6A6D"/>
    <w:rsid w:val="002A6AD3"/>
    <w:rsid w:val="002B022A"/>
    <w:rsid w:val="002B0994"/>
    <w:rsid w:val="002B106C"/>
    <w:rsid w:val="002B4E12"/>
    <w:rsid w:val="002B5730"/>
    <w:rsid w:val="002C55A5"/>
    <w:rsid w:val="002C79D4"/>
    <w:rsid w:val="002D130E"/>
    <w:rsid w:val="002D35B9"/>
    <w:rsid w:val="002D5394"/>
    <w:rsid w:val="002D62A5"/>
    <w:rsid w:val="002D6352"/>
    <w:rsid w:val="002D6A8E"/>
    <w:rsid w:val="002E022C"/>
    <w:rsid w:val="002E11C1"/>
    <w:rsid w:val="002E2A43"/>
    <w:rsid w:val="002E46D6"/>
    <w:rsid w:val="002E7DAC"/>
    <w:rsid w:val="002F374D"/>
    <w:rsid w:val="002F3BE7"/>
    <w:rsid w:val="002F507C"/>
    <w:rsid w:val="002F5E38"/>
    <w:rsid w:val="002F6515"/>
    <w:rsid w:val="003019CC"/>
    <w:rsid w:val="00303A95"/>
    <w:rsid w:val="00305BFA"/>
    <w:rsid w:val="00315370"/>
    <w:rsid w:val="003166CB"/>
    <w:rsid w:val="00316AF0"/>
    <w:rsid w:val="0031756F"/>
    <w:rsid w:val="00320F7B"/>
    <w:rsid w:val="00321658"/>
    <w:rsid w:val="003252FB"/>
    <w:rsid w:val="00325604"/>
    <w:rsid w:val="00325F05"/>
    <w:rsid w:val="00327404"/>
    <w:rsid w:val="00334363"/>
    <w:rsid w:val="00334952"/>
    <w:rsid w:val="00340EDD"/>
    <w:rsid w:val="00342EEA"/>
    <w:rsid w:val="003458F1"/>
    <w:rsid w:val="00350494"/>
    <w:rsid w:val="003508E6"/>
    <w:rsid w:val="00353E67"/>
    <w:rsid w:val="0036073A"/>
    <w:rsid w:val="00360C86"/>
    <w:rsid w:val="00361AED"/>
    <w:rsid w:val="00361FC0"/>
    <w:rsid w:val="00363102"/>
    <w:rsid w:val="003716B8"/>
    <w:rsid w:val="00372B71"/>
    <w:rsid w:val="00372F27"/>
    <w:rsid w:val="0037319D"/>
    <w:rsid w:val="003804B1"/>
    <w:rsid w:val="00381860"/>
    <w:rsid w:val="00382610"/>
    <w:rsid w:val="00383398"/>
    <w:rsid w:val="00383F4F"/>
    <w:rsid w:val="003849FE"/>
    <w:rsid w:val="00387265"/>
    <w:rsid w:val="003913EE"/>
    <w:rsid w:val="003915A0"/>
    <w:rsid w:val="003917C3"/>
    <w:rsid w:val="00392814"/>
    <w:rsid w:val="00392B93"/>
    <w:rsid w:val="00393858"/>
    <w:rsid w:val="00393B2A"/>
    <w:rsid w:val="00397670"/>
    <w:rsid w:val="00397DF3"/>
    <w:rsid w:val="003A0D52"/>
    <w:rsid w:val="003A0EC4"/>
    <w:rsid w:val="003A217B"/>
    <w:rsid w:val="003A2223"/>
    <w:rsid w:val="003A3909"/>
    <w:rsid w:val="003A3B3C"/>
    <w:rsid w:val="003A7252"/>
    <w:rsid w:val="003A7A02"/>
    <w:rsid w:val="003B1C1F"/>
    <w:rsid w:val="003B75D4"/>
    <w:rsid w:val="003C6A5B"/>
    <w:rsid w:val="003D06DB"/>
    <w:rsid w:val="003D1375"/>
    <w:rsid w:val="003D2AAE"/>
    <w:rsid w:val="003D3716"/>
    <w:rsid w:val="003D4E1A"/>
    <w:rsid w:val="003D5862"/>
    <w:rsid w:val="003E2A40"/>
    <w:rsid w:val="003E3C29"/>
    <w:rsid w:val="003E4D9C"/>
    <w:rsid w:val="003F1247"/>
    <w:rsid w:val="003F361B"/>
    <w:rsid w:val="003F4A62"/>
    <w:rsid w:val="003F4C97"/>
    <w:rsid w:val="004005E4"/>
    <w:rsid w:val="00400829"/>
    <w:rsid w:val="00400F56"/>
    <w:rsid w:val="004037C8"/>
    <w:rsid w:val="00405210"/>
    <w:rsid w:val="00406FEA"/>
    <w:rsid w:val="0041351D"/>
    <w:rsid w:val="00415F11"/>
    <w:rsid w:val="00423DDE"/>
    <w:rsid w:val="00423F02"/>
    <w:rsid w:val="00424529"/>
    <w:rsid w:val="00424982"/>
    <w:rsid w:val="00425235"/>
    <w:rsid w:val="0042569D"/>
    <w:rsid w:val="00432BF5"/>
    <w:rsid w:val="0043353E"/>
    <w:rsid w:val="0043498D"/>
    <w:rsid w:val="00436947"/>
    <w:rsid w:val="004448B3"/>
    <w:rsid w:val="00445D9F"/>
    <w:rsid w:val="00446A9F"/>
    <w:rsid w:val="00447168"/>
    <w:rsid w:val="00447C67"/>
    <w:rsid w:val="00450496"/>
    <w:rsid w:val="00452DB5"/>
    <w:rsid w:val="00455865"/>
    <w:rsid w:val="00456CA8"/>
    <w:rsid w:val="00461148"/>
    <w:rsid w:val="004619AC"/>
    <w:rsid w:val="004619BC"/>
    <w:rsid w:val="004646B2"/>
    <w:rsid w:val="004665E3"/>
    <w:rsid w:val="00466D4C"/>
    <w:rsid w:val="0046726E"/>
    <w:rsid w:val="0047361D"/>
    <w:rsid w:val="00483FF7"/>
    <w:rsid w:val="00485A8F"/>
    <w:rsid w:val="00485BB1"/>
    <w:rsid w:val="00486535"/>
    <w:rsid w:val="00487D5A"/>
    <w:rsid w:val="00491F9B"/>
    <w:rsid w:val="004A37E1"/>
    <w:rsid w:val="004A48A7"/>
    <w:rsid w:val="004A5338"/>
    <w:rsid w:val="004A727F"/>
    <w:rsid w:val="004B0714"/>
    <w:rsid w:val="004B2284"/>
    <w:rsid w:val="004C0056"/>
    <w:rsid w:val="004C0271"/>
    <w:rsid w:val="004C0587"/>
    <w:rsid w:val="004C191A"/>
    <w:rsid w:val="004C2970"/>
    <w:rsid w:val="004C39A4"/>
    <w:rsid w:val="004C5E36"/>
    <w:rsid w:val="004D0779"/>
    <w:rsid w:val="004D10D0"/>
    <w:rsid w:val="004D13E0"/>
    <w:rsid w:val="004D14E1"/>
    <w:rsid w:val="004D15F7"/>
    <w:rsid w:val="004D4396"/>
    <w:rsid w:val="004D4FD8"/>
    <w:rsid w:val="004E2032"/>
    <w:rsid w:val="004E3100"/>
    <w:rsid w:val="004E45F2"/>
    <w:rsid w:val="004E48C3"/>
    <w:rsid w:val="004E48EE"/>
    <w:rsid w:val="004E5EB2"/>
    <w:rsid w:val="004F0F86"/>
    <w:rsid w:val="004F2CBA"/>
    <w:rsid w:val="004F402A"/>
    <w:rsid w:val="004F5BDD"/>
    <w:rsid w:val="004F7841"/>
    <w:rsid w:val="004F7895"/>
    <w:rsid w:val="004F7C4B"/>
    <w:rsid w:val="00500717"/>
    <w:rsid w:val="005010E7"/>
    <w:rsid w:val="00502D17"/>
    <w:rsid w:val="00503006"/>
    <w:rsid w:val="0050549C"/>
    <w:rsid w:val="005127D7"/>
    <w:rsid w:val="0052045D"/>
    <w:rsid w:val="00522B64"/>
    <w:rsid w:val="00522CD8"/>
    <w:rsid w:val="00524EA1"/>
    <w:rsid w:val="00526646"/>
    <w:rsid w:val="00530FDD"/>
    <w:rsid w:val="00532455"/>
    <w:rsid w:val="0053338A"/>
    <w:rsid w:val="005334AA"/>
    <w:rsid w:val="005354DD"/>
    <w:rsid w:val="005359D2"/>
    <w:rsid w:val="00537BA2"/>
    <w:rsid w:val="00537F6B"/>
    <w:rsid w:val="005421E1"/>
    <w:rsid w:val="00545378"/>
    <w:rsid w:val="00546890"/>
    <w:rsid w:val="00547FA4"/>
    <w:rsid w:val="0055064D"/>
    <w:rsid w:val="00550D99"/>
    <w:rsid w:val="00553BC3"/>
    <w:rsid w:val="00554FBF"/>
    <w:rsid w:val="005573DA"/>
    <w:rsid w:val="005608E6"/>
    <w:rsid w:val="00560B10"/>
    <w:rsid w:val="005610E6"/>
    <w:rsid w:val="00561838"/>
    <w:rsid w:val="005706B5"/>
    <w:rsid w:val="00571003"/>
    <w:rsid w:val="005718D6"/>
    <w:rsid w:val="00572746"/>
    <w:rsid w:val="0057377C"/>
    <w:rsid w:val="00573BDD"/>
    <w:rsid w:val="0057676D"/>
    <w:rsid w:val="005773FF"/>
    <w:rsid w:val="00577E7F"/>
    <w:rsid w:val="00581FC6"/>
    <w:rsid w:val="005829A5"/>
    <w:rsid w:val="0058648A"/>
    <w:rsid w:val="00586A55"/>
    <w:rsid w:val="005905DB"/>
    <w:rsid w:val="00590EA9"/>
    <w:rsid w:val="00596AF8"/>
    <w:rsid w:val="00597051"/>
    <w:rsid w:val="005A31EE"/>
    <w:rsid w:val="005A3340"/>
    <w:rsid w:val="005A668B"/>
    <w:rsid w:val="005A7AC5"/>
    <w:rsid w:val="005B081E"/>
    <w:rsid w:val="005B15D1"/>
    <w:rsid w:val="005B198E"/>
    <w:rsid w:val="005B6785"/>
    <w:rsid w:val="005C1829"/>
    <w:rsid w:val="005C306F"/>
    <w:rsid w:val="005C4C24"/>
    <w:rsid w:val="005C6401"/>
    <w:rsid w:val="005C7528"/>
    <w:rsid w:val="005D193B"/>
    <w:rsid w:val="005D22FF"/>
    <w:rsid w:val="005D2810"/>
    <w:rsid w:val="005D2FC4"/>
    <w:rsid w:val="005D6798"/>
    <w:rsid w:val="005D7833"/>
    <w:rsid w:val="005E046B"/>
    <w:rsid w:val="005E0CCD"/>
    <w:rsid w:val="005E7BAA"/>
    <w:rsid w:val="005F2A95"/>
    <w:rsid w:val="005F40B3"/>
    <w:rsid w:val="005F59FD"/>
    <w:rsid w:val="005F67FD"/>
    <w:rsid w:val="00601A56"/>
    <w:rsid w:val="00604B8E"/>
    <w:rsid w:val="00604C44"/>
    <w:rsid w:val="00607CD3"/>
    <w:rsid w:val="006100BF"/>
    <w:rsid w:val="00617598"/>
    <w:rsid w:val="00624748"/>
    <w:rsid w:val="006253A2"/>
    <w:rsid w:val="006265E9"/>
    <w:rsid w:val="00627613"/>
    <w:rsid w:val="00631698"/>
    <w:rsid w:val="00631D10"/>
    <w:rsid w:val="00632B26"/>
    <w:rsid w:val="00635B28"/>
    <w:rsid w:val="00635CF0"/>
    <w:rsid w:val="006375FE"/>
    <w:rsid w:val="00641089"/>
    <w:rsid w:val="00641D48"/>
    <w:rsid w:val="00642026"/>
    <w:rsid w:val="00642074"/>
    <w:rsid w:val="00643561"/>
    <w:rsid w:val="00645D02"/>
    <w:rsid w:val="00646984"/>
    <w:rsid w:val="0065037D"/>
    <w:rsid w:val="0065315C"/>
    <w:rsid w:val="00654B33"/>
    <w:rsid w:val="00661ECD"/>
    <w:rsid w:val="00662CB0"/>
    <w:rsid w:val="00665E6B"/>
    <w:rsid w:val="00666079"/>
    <w:rsid w:val="00667340"/>
    <w:rsid w:val="00670F92"/>
    <w:rsid w:val="0067107D"/>
    <w:rsid w:val="006718AF"/>
    <w:rsid w:val="00671D2B"/>
    <w:rsid w:val="0067262D"/>
    <w:rsid w:val="0067406F"/>
    <w:rsid w:val="00676B88"/>
    <w:rsid w:val="00680085"/>
    <w:rsid w:val="0069166E"/>
    <w:rsid w:val="006923D8"/>
    <w:rsid w:val="00693F7E"/>
    <w:rsid w:val="00694EAF"/>
    <w:rsid w:val="00695877"/>
    <w:rsid w:val="00696864"/>
    <w:rsid w:val="006A0621"/>
    <w:rsid w:val="006A1357"/>
    <w:rsid w:val="006B152C"/>
    <w:rsid w:val="006B3126"/>
    <w:rsid w:val="006B687B"/>
    <w:rsid w:val="006B6A55"/>
    <w:rsid w:val="006B6B53"/>
    <w:rsid w:val="006C258D"/>
    <w:rsid w:val="006C326B"/>
    <w:rsid w:val="006D0BD3"/>
    <w:rsid w:val="006D212D"/>
    <w:rsid w:val="006D3526"/>
    <w:rsid w:val="006D3722"/>
    <w:rsid w:val="006D3A07"/>
    <w:rsid w:val="006D47BA"/>
    <w:rsid w:val="006E2BF3"/>
    <w:rsid w:val="006E3296"/>
    <w:rsid w:val="006E40B4"/>
    <w:rsid w:val="006E464A"/>
    <w:rsid w:val="006E7598"/>
    <w:rsid w:val="006E78F0"/>
    <w:rsid w:val="006F091B"/>
    <w:rsid w:val="006F2B23"/>
    <w:rsid w:val="006F7CEB"/>
    <w:rsid w:val="00700377"/>
    <w:rsid w:val="00703854"/>
    <w:rsid w:val="00704A7E"/>
    <w:rsid w:val="0070546B"/>
    <w:rsid w:val="00706843"/>
    <w:rsid w:val="00706D3C"/>
    <w:rsid w:val="0070782D"/>
    <w:rsid w:val="007118EF"/>
    <w:rsid w:val="0071432A"/>
    <w:rsid w:val="00715300"/>
    <w:rsid w:val="0071611C"/>
    <w:rsid w:val="007161F2"/>
    <w:rsid w:val="00717469"/>
    <w:rsid w:val="00717BA1"/>
    <w:rsid w:val="0072081B"/>
    <w:rsid w:val="00730891"/>
    <w:rsid w:val="007325E4"/>
    <w:rsid w:val="00733AE1"/>
    <w:rsid w:val="007355CE"/>
    <w:rsid w:val="00735AA7"/>
    <w:rsid w:val="007374A0"/>
    <w:rsid w:val="0074360D"/>
    <w:rsid w:val="0074405F"/>
    <w:rsid w:val="00744E84"/>
    <w:rsid w:val="00744F6E"/>
    <w:rsid w:val="0074762F"/>
    <w:rsid w:val="00747F28"/>
    <w:rsid w:val="007528D1"/>
    <w:rsid w:val="0075353E"/>
    <w:rsid w:val="00754298"/>
    <w:rsid w:val="00754A1E"/>
    <w:rsid w:val="00756318"/>
    <w:rsid w:val="007563BD"/>
    <w:rsid w:val="0076138B"/>
    <w:rsid w:val="00761E28"/>
    <w:rsid w:val="00762C74"/>
    <w:rsid w:val="00765D4D"/>
    <w:rsid w:val="00765DF7"/>
    <w:rsid w:val="007675BE"/>
    <w:rsid w:val="0077619D"/>
    <w:rsid w:val="00777754"/>
    <w:rsid w:val="00777AE2"/>
    <w:rsid w:val="00780C7D"/>
    <w:rsid w:val="007815B4"/>
    <w:rsid w:val="00781855"/>
    <w:rsid w:val="00782E71"/>
    <w:rsid w:val="0079082F"/>
    <w:rsid w:val="00792297"/>
    <w:rsid w:val="00792DB6"/>
    <w:rsid w:val="00794C77"/>
    <w:rsid w:val="007952DA"/>
    <w:rsid w:val="00795DF0"/>
    <w:rsid w:val="007A05CF"/>
    <w:rsid w:val="007A3231"/>
    <w:rsid w:val="007A7EEA"/>
    <w:rsid w:val="007B2803"/>
    <w:rsid w:val="007B2B9C"/>
    <w:rsid w:val="007B45A5"/>
    <w:rsid w:val="007B5A31"/>
    <w:rsid w:val="007B6484"/>
    <w:rsid w:val="007C170C"/>
    <w:rsid w:val="007C341A"/>
    <w:rsid w:val="007C3654"/>
    <w:rsid w:val="007C5E5D"/>
    <w:rsid w:val="007D3BA9"/>
    <w:rsid w:val="007D5573"/>
    <w:rsid w:val="007D5618"/>
    <w:rsid w:val="007D5E68"/>
    <w:rsid w:val="007D6DD3"/>
    <w:rsid w:val="007D73A5"/>
    <w:rsid w:val="007E1102"/>
    <w:rsid w:val="007E146C"/>
    <w:rsid w:val="007E19F4"/>
    <w:rsid w:val="007E298E"/>
    <w:rsid w:val="007E7180"/>
    <w:rsid w:val="007F1184"/>
    <w:rsid w:val="007F15B6"/>
    <w:rsid w:val="007F225A"/>
    <w:rsid w:val="007F2E40"/>
    <w:rsid w:val="007F5B8D"/>
    <w:rsid w:val="008002A9"/>
    <w:rsid w:val="00805C98"/>
    <w:rsid w:val="008114F5"/>
    <w:rsid w:val="00813194"/>
    <w:rsid w:val="008135E5"/>
    <w:rsid w:val="00813AEE"/>
    <w:rsid w:val="00813EEB"/>
    <w:rsid w:val="0081426A"/>
    <w:rsid w:val="008161EF"/>
    <w:rsid w:val="00822FBB"/>
    <w:rsid w:val="00823670"/>
    <w:rsid w:val="008239DC"/>
    <w:rsid w:val="00823A54"/>
    <w:rsid w:val="00824E52"/>
    <w:rsid w:val="0082590A"/>
    <w:rsid w:val="00825B58"/>
    <w:rsid w:val="008275EF"/>
    <w:rsid w:val="00830691"/>
    <w:rsid w:val="00832F58"/>
    <w:rsid w:val="00836B49"/>
    <w:rsid w:val="00836DCD"/>
    <w:rsid w:val="008413C0"/>
    <w:rsid w:val="00841721"/>
    <w:rsid w:val="008417E8"/>
    <w:rsid w:val="0084268B"/>
    <w:rsid w:val="00843B7B"/>
    <w:rsid w:val="00844878"/>
    <w:rsid w:val="0084489A"/>
    <w:rsid w:val="00844F34"/>
    <w:rsid w:val="008451FE"/>
    <w:rsid w:val="00845372"/>
    <w:rsid w:val="00850B79"/>
    <w:rsid w:val="00854077"/>
    <w:rsid w:val="00856723"/>
    <w:rsid w:val="00856E0C"/>
    <w:rsid w:val="008601C0"/>
    <w:rsid w:val="008605D2"/>
    <w:rsid w:val="00860820"/>
    <w:rsid w:val="0086621C"/>
    <w:rsid w:val="00866E7E"/>
    <w:rsid w:val="00870F53"/>
    <w:rsid w:val="00871078"/>
    <w:rsid w:val="0087252A"/>
    <w:rsid w:val="00873070"/>
    <w:rsid w:val="00873A62"/>
    <w:rsid w:val="00873B14"/>
    <w:rsid w:val="008746E0"/>
    <w:rsid w:val="00874A82"/>
    <w:rsid w:val="00875138"/>
    <w:rsid w:val="00876C13"/>
    <w:rsid w:val="00880E7B"/>
    <w:rsid w:val="008846CC"/>
    <w:rsid w:val="00887201"/>
    <w:rsid w:val="008874F8"/>
    <w:rsid w:val="008905C5"/>
    <w:rsid w:val="00890925"/>
    <w:rsid w:val="00890F4B"/>
    <w:rsid w:val="00891FEA"/>
    <w:rsid w:val="00892568"/>
    <w:rsid w:val="0089496F"/>
    <w:rsid w:val="008949FC"/>
    <w:rsid w:val="00894FA5"/>
    <w:rsid w:val="008966CC"/>
    <w:rsid w:val="00896720"/>
    <w:rsid w:val="008A0147"/>
    <w:rsid w:val="008A08EA"/>
    <w:rsid w:val="008A0F06"/>
    <w:rsid w:val="008A24E1"/>
    <w:rsid w:val="008A4B84"/>
    <w:rsid w:val="008A5E66"/>
    <w:rsid w:val="008A6B88"/>
    <w:rsid w:val="008A7935"/>
    <w:rsid w:val="008B0FC5"/>
    <w:rsid w:val="008B2A38"/>
    <w:rsid w:val="008B4E0E"/>
    <w:rsid w:val="008C1D44"/>
    <w:rsid w:val="008C6F8B"/>
    <w:rsid w:val="008C780D"/>
    <w:rsid w:val="008D1548"/>
    <w:rsid w:val="008D424A"/>
    <w:rsid w:val="008D4957"/>
    <w:rsid w:val="008D5425"/>
    <w:rsid w:val="008D5A21"/>
    <w:rsid w:val="008D6D8C"/>
    <w:rsid w:val="008D75B1"/>
    <w:rsid w:val="008E36C4"/>
    <w:rsid w:val="008E51DA"/>
    <w:rsid w:val="008E5453"/>
    <w:rsid w:val="008F0704"/>
    <w:rsid w:val="008F1039"/>
    <w:rsid w:val="008F46A9"/>
    <w:rsid w:val="008F5934"/>
    <w:rsid w:val="008F6DA7"/>
    <w:rsid w:val="008F76CA"/>
    <w:rsid w:val="00902CEF"/>
    <w:rsid w:val="00905823"/>
    <w:rsid w:val="00905EC6"/>
    <w:rsid w:val="0090648F"/>
    <w:rsid w:val="00907896"/>
    <w:rsid w:val="0091024E"/>
    <w:rsid w:val="00910A51"/>
    <w:rsid w:val="0091303B"/>
    <w:rsid w:val="009155C0"/>
    <w:rsid w:val="009174A5"/>
    <w:rsid w:val="009217B0"/>
    <w:rsid w:val="00925C41"/>
    <w:rsid w:val="00926938"/>
    <w:rsid w:val="00931F1E"/>
    <w:rsid w:val="009321A9"/>
    <w:rsid w:val="00937FB0"/>
    <w:rsid w:val="00940344"/>
    <w:rsid w:val="00940C72"/>
    <w:rsid w:val="009416F1"/>
    <w:rsid w:val="00943671"/>
    <w:rsid w:val="00944B43"/>
    <w:rsid w:val="009471C0"/>
    <w:rsid w:val="00955A41"/>
    <w:rsid w:val="0095736E"/>
    <w:rsid w:val="009604F1"/>
    <w:rsid w:val="009630C3"/>
    <w:rsid w:val="00964A3E"/>
    <w:rsid w:val="009655B0"/>
    <w:rsid w:val="00965CF3"/>
    <w:rsid w:val="0096695F"/>
    <w:rsid w:val="009700F1"/>
    <w:rsid w:val="00970E52"/>
    <w:rsid w:val="00973813"/>
    <w:rsid w:val="00974342"/>
    <w:rsid w:val="00975FA2"/>
    <w:rsid w:val="009772D3"/>
    <w:rsid w:val="009812F8"/>
    <w:rsid w:val="00982BEF"/>
    <w:rsid w:val="009832E5"/>
    <w:rsid w:val="009839AC"/>
    <w:rsid w:val="009864DD"/>
    <w:rsid w:val="00987A7E"/>
    <w:rsid w:val="009918C8"/>
    <w:rsid w:val="009936A4"/>
    <w:rsid w:val="009949BF"/>
    <w:rsid w:val="00995C54"/>
    <w:rsid w:val="00996EA7"/>
    <w:rsid w:val="00997DBB"/>
    <w:rsid w:val="009A0555"/>
    <w:rsid w:val="009A0AF6"/>
    <w:rsid w:val="009A46B0"/>
    <w:rsid w:val="009A50B2"/>
    <w:rsid w:val="009A64B2"/>
    <w:rsid w:val="009A71BF"/>
    <w:rsid w:val="009A77AF"/>
    <w:rsid w:val="009B039C"/>
    <w:rsid w:val="009B0910"/>
    <w:rsid w:val="009B128B"/>
    <w:rsid w:val="009B335B"/>
    <w:rsid w:val="009B393D"/>
    <w:rsid w:val="009B3E37"/>
    <w:rsid w:val="009B407C"/>
    <w:rsid w:val="009B5944"/>
    <w:rsid w:val="009C006B"/>
    <w:rsid w:val="009C3D42"/>
    <w:rsid w:val="009C4DA7"/>
    <w:rsid w:val="009C6E89"/>
    <w:rsid w:val="009D056A"/>
    <w:rsid w:val="009D0670"/>
    <w:rsid w:val="009D11E3"/>
    <w:rsid w:val="009D168E"/>
    <w:rsid w:val="009D1D41"/>
    <w:rsid w:val="009D28A4"/>
    <w:rsid w:val="009D3048"/>
    <w:rsid w:val="009D3F2F"/>
    <w:rsid w:val="009D4957"/>
    <w:rsid w:val="009D55F2"/>
    <w:rsid w:val="009D63ED"/>
    <w:rsid w:val="009E0816"/>
    <w:rsid w:val="009E155D"/>
    <w:rsid w:val="009E1598"/>
    <w:rsid w:val="009E515C"/>
    <w:rsid w:val="009E7597"/>
    <w:rsid w:val="009F1058"/>
    <w:rsid w:val="009F207C"/>
    <w:rsid w:val="009F268A"/>
    <w:rsid w:val="009F5DA3"/>
    <w:rsid w:val="009F68FB"/>
    <w:rsid w:val="00A00733"/>
    <w:rsid w:val="00A00889"/>
    <w:rsid w:val="00A03609"/>
    <w:rsid w:val="00A04D7D"/>
    <w:rsid w:val="00A056B9"/>
    <w:rsid w:val="00A0667E"/>
    <w:rsid w:val="00A10140"/>
    <w:rsid w:val="00A10309"/>
    <w:rsid w:val="00A247D3"/>
    <w:rsid w:val="00A26442"/>
    <w:rsid w:val="00A26A39"/>
    <w:rsid w:val="00A315A3"/>
    <w:rsid w:val="00A34531"/>
    <w:rsid w:val="00A3714B"/>
    <w:rsid w:val="00A3729C"/>
    <w:rsid w:val="00A413C3"/>
    <w:rsid w:val="00A425E5"/>
    <w:rsid w:val="00A43617"/>
    <w:rsid w:val="00A43CDE"/>
    <w:rsid w:val="00A4445C"/>
    <w:rsid w:val="00A444B5"/>
    <w:rsid w:val="00A509FB"/>
    <w:rsid w:val="00A51153"/>
    <w:rsid w:val="00A522E5"/>
    <w:rsid w:val="00A53564"/>
    <w:rsid w:val="00A5356F"/>
    <w:rsid w:val="00A54CB5"/>
    <w:rsid w:val="00A56D52"/>
    <w:rsid w:val="00A619F4"/>
    <w:rsid w:val="00A636E7"/>
    <w:rsid w:val="00A6372B"/>
    <w:rsid w:val="00A63764"/>
    <w:rsid w:val="00A64332"/>
    <w:rsid w:val="00A6501C"/>
    <w:rsid w:val="00A66A36"/>
    <w:rsid w:val="00A716C9"/>
    <w:rsid w:val="00A75AB0"/>
    <w:rsid w:val="00A75CB4"/>
    <w:rsid w:val="00A7637A"/>
    <w:rsid w:val="00A76651"/>
    <w:rsid w:val="00A77231"/>
    <w:rsid w:val="00A85604"/>
    <w:rsid w:val="00A919B3"/>
    <w:rsid w:val="00A91F27"/>
    <w:rsid w:val="00A96A87"/>
    <w:rsid w:val="00AA3783"/>
    <w:rsid w:val="00AA4427"/>
    <w:rsid w:val="00AA4AD1"/>
    <w:rsid w:val="00AA7A2A"/>
    <w:rsid w:val="00AB1658"/>
    <w:rsid w:val="00AB24B1"/>
    <w:rsid w:val="00AC0E75"/>
    <w:rsid w:val="00AC1702"/>
    <w:rsid w:val="00AC4661"/>
    <w:rsid w:val="00AC734C"/>
    <w:rsid w:val="00AD07A0"/>
    <w:rsid w:val="00AD11B8"/>
    <w:rsid w:val="00AD1681"/>
    <w:rsid w:val="00AD59E1"/>
    <w:rsid w:val="00AD5CBE"/>
    <w:rsid w:val="00AD6EBE"/>
    <w:rsid w:val="00AD6F04"/>
    <w:rsid w:val="00AE06E2"/>
    <w:rsid w:val="00AE0C5D"/>
    <w:rsid w:val="00AE38C6"/>
    <w:rsid w:val="00AE5D92"/>
    <w:rsid w:val="00AE7BFC"/>
    <w:rsid w:val="00AF7277"/>
    <w:rsid w:val="00B00608"/>
    <w:rsid w:val="00B00C27"/>
    <w:rsid w:val="00B12D4C"/>
    <w:rsid w:val="00B12DE7"/>
    <w:rsid w:val="00B154CD"/>
    <w:rsid w:val="00B15ADF"/>
    <w:rsid w:val="00B160E7"/>
    <w:rsid w:val="00B17D39"/>
    <w:rsid w:val="00B17FB6"/>
    <w:rsid w:val="00B258F3"/>
    <w:rsid w:val="00B26AA2"/>
    <w:rsid w:val="00B26FE3"/>
    <w:rsid w:val="00B32706"/>
    <w:rsid w:val="00B32CE2"/>
    <w:rsid w:val="00B3585B"/>
    <w:rsid w:val="00B3609B"/>
    <w:rsid w:val="00B3659A"/>
    <w:rsid w:val="00B40E04"/>
    <w:rsid w:val="00B44649"/>
    <w:rsid w:val="00B51648"/>
    <w:rsid w:val="00B5489E"/>
    <w:rsid w:val="00B5507A"/>
    <w:rsid w:val="00B6088F"/>
    <w:rsid w:val="00B63DCF"/>
    <w:rsid w:val="00B642DD"/>
    <w:rsid w:val="00B653DF"/>
    <w:rsid w:val="00B66490"/>
    <w:rsid w:val="00B6659A"/>
    <w:rsid w:val="00B67DF1"/>
    <w:rsid w:val="00B67F0E"/>
    <w:rsid w:val="00B70270"/>
    <w:rsid w:val="00B7107D"/>
    <w:rsid w:val="00B73885"/>
    <w:rsid w:val="00B749F0"/>
    <w:rsid w:val="00B75F62"/>
    <w:rsid w:val="00B77C7B"/>
    <w:rsid w:val="00B86DE7"/>
    <w:rsid w:val="00B86E5D"/>
    <w:rsid w:val="00B871DD"/>
    <w:rsid w:val="00B91B1B"/>
    <w:rsid w:val="00B945C0"/>
    <w:rsid w:val="00B95000"/>
    <w:rsid w:val="00B957B9"/>
    <w:rsid w:val="00B96D27"/>
    <w:rsid w:val="00BA13FF"/>
    <w:rsid w:val="00BA21FF"/>
    <w:rsid w:val="00BA2249"/>
    <w:rsid w:val="00BA5AF3"/>
    <w:rsid w:val="00BB15F2"/>
    <w:rsid w:val="00BB2F82"/>
    <w:rsid w:val="00BB7596"/>
    <w:rsid w:val="00BC0D2F"/>
    <w:rsid w:val="00BC2C47"/>
    <w:rsid w:val="00BC58AE"/>
    <w:rsid w:val="00BC5DBE"/>
    <w:rsid w:val="00BC7A65"/>
    <w:rsid w:val="00BD084F"/>
    <w:rsid w:val="00BD08D4"/>
    <w:rsid w:val="00BD2220"/>
    <w:rsid w:val="00BD2796"/>
    <w:rsid w:val="00BD3577"/>
    <w:rsid w:val="00BD3F3D"/>
    <w:rsid w:val="00BD492C"/>
    <w:rsid w:val="00BD6B29"/>
    <w:rsid w:val="00BE04A6"/>
    <w:rsid w:val="00BE2A87"/>
    <w:rsid w:val="00BF1216"/>
    <w:rsid w:val="00C0121A"/>
    <w:rsid w:val="00C01A21"/>
    <w:rsid w:val="00C032BF"/>
    <w:rsid w:val="00C03B26"/>
    <w:rsid w:val="00C04EA3"/>
    <w:rsid w:val="00C05C79"/>
    <w:rsid w:val="00C105D4"/>
    <w:rsid w:val="00C10837"/>
    <w:rsid w:val="00C12D69"/>
    <w:rsid w:val="00C13412"/>
    <w:rsid w:val="00C1408B"/>
    <w:rsid w:val="00C1415C"/>
    <w:rsid w:val="00C242CE"/>
    <w:rsid w:val="00C25081"/>
    <w:rsid w:val="00C26442"/>
    <w:rsid w:val="00C266F7"/>
    <w:rsid w:val="00C269AB"/>
    <w:rsid w:val="00C31235"/>
    <w:rsid w:val="00C327DE"/>
    <w:rsid w:val="00C346DE"/>
    <w:rsid w:val="00C35837"/>
    <w:rsid w:val="00C363EB"/>
    <w:rsid w:val="00C4099A"/>
    <w:rsid w:val="00C424BF"/>
    <w:rsid w:val="00C426E0"/>
    <w:rsid w:val="00C43EEB"/>
    <w:rsid w:val="00C502C7"/>
    <w:rsid w:val="00C509FB"/>
    <w:rsid w:val="00C524CF"/>
    <w:rsid w:val="00C53772"/>
    <w:rsid w:val="00C55354"/>
    <w:rsid w:val="00C56D07"/>
    <w:rsid w:val="00C574E9"/>
    <w:rsid w:val="00C603A0"/>
    <w:rsid w:val="00C643A8"/>
    <w:rsid w:val="00C64491"/>
    <w:rsid w:val="00C67D0E"/>
    <w:rsid w:val="00C709BC"/>
    <w:rsid w:val="00C72A17"/>
    <w:rsid w:val="00C768B9"/>
    <w:rsid w:val="00C77324"/>
    <w:rsid w:val="00C77929"/>
    <w:rsid w:val="00C803A1"/>
    <w:rsid w:val="00C81969"/>
    <w:rsid w:val="00C83706"/>
    <w:rsid w:val="00C83E69"/>
    <w:rsid w:val="00C84E9B"/>
    <w:rsid w:val="00C85526"/>
    <w:rsid w:val="00C878D5"/>
    <w:rsid w:val="00C91773"/>
    <w:rsid w:val="00C937A8"/>
    <w:rsid w:val="00C94E90"/>
    <w:rsid w:val="00C96D6F"/>
    <w:rsid w:val="00C9736D"/>
    <w:rsid w:val="00CA1614"/>
    <w:rsid w:val="00CA57AB"/>
    <w:rsid w:val="00CA6A65"/>
    <w:rsid w:val="00CB36D7"/>
    <w:rsid w:val="00CB668B"/>
    <w:rsid w:val="00CC20C5"/>
    <w:rsid w:val="00CC210E"/>
    <w:rsid w:val="00CC5AA0"/>
    <w:rsid w:val="00CC7E12"/>
    <w:rsid w:val="00CD2CB5"/>
    <w:rsid w:val="00CD361B"/>
    <w:rsid w:val="00CD3B77"/>
    <w:rsid w:val="00CD5402"/>
    <w:rsid w:val="00CD6008"/>
    <w:rsid w:val="00CD7E48"/>
    <w:rsid w:val="00CD7ED3"/>
    <w:rsid w:val="00CE412F"/>
    <w:rsid w:val="00CE65E4"/>
    <w:rsid w:val="00CE7DF9"/>
    <w:rsid w:val="00D0052E"/>
    <w:rsid w:val="00D00F40"/>
    <w:rsid w:val="00D014CC"/>
    <w:rsid w:val="00D04E75"/>
    <w:rsid w:val="00D0513B"/>
    <w:rsid w:val="00D05CF7"/>
    <w:rsid w:val="00D063C7"/>
    <w:rsid w:val="00D10B59"/>
    <w:rsid w:val="00D11A95"/>
    <w:rsid w:val="00D11D0D"/>
    <w:rsid w:val="00D11E1B"/>
    <w:rsid w:val="00D120B5"/>
    <w:rsid w:val="00D1223D"/>
    <w:rsid w:val="00D128BB"/>
    <w:rsid w:val="00D13680"/>
    <w:rsid w:val="00D14869"/>
    <w:rsid w:val="00D14FFB"/>
    <w:rsid w:val="00D158DD"/>
    <w:rsid w:val="00D22B35"/>
    <w:rsid w:val="00D23E69"/>
    <w:rsid w:val="00D33B91"/>
    <w:rsid w:val="00D342CE"/>
    <w:rsid w:val="00D4058A"/>
    <w:rsid w:val="00D425A6"/>
    <w:rsid w:val="00D43712"/>
    <w:rsid w:val="00D4551C"/>
    <w:rsid w:val="00D4737D"/>
    <w:rsid w:val="00D47A00"/>
    <w:rsid w:val="00D500E4"/>
    <w:rsid w:val="00D516D7"/>
    <w:rsid w:val="00D54863"/>
    <w:rsid w:val="00D5629C"/>
    <w:rsid w:val="00D56E3D"/>
    <w:rsid w:val="00D5720A"/>
    <w:rsid w:val="00D57B28"/>
    <w:rsid w:val="00D6621C"/>
    <w:rsid w:val="00D67C71"/>
    <w:rsid w:val="00D72064"/>
    <w:rsid w:val="00D72BF8"/>
    <w:rsid w:val="00D7351E"/>
    <w:rsid w:val="00D749C1"/>
    <w:rsid w:val="00D75051"/>
    <w:rsid w:val="00D828B6"/>
    <w:rsid w:val="00D8391B"/>
    <w:rsid w:val="00D83B1A"/>
    <w:rsid w:val="00D84492"/>
    <w:rsid w:val="00D86C76"/>
    <w:rsid w:val="00D9044B"/>
    <w:rsid w:val="00D91502"/>
    <w:rsid w:val="00D92243"/>
    <w:rsid w:val="00D9397D"/>
    <w:rsid w:val="00D94090"/>
    <w:rsid w:val="00D9409A"/>
    <w:rsid w:val="00D94112"/>
    <w:rsid w:val="00D94C3C"/>
    <w:rsid w:val="00D95B6A"/>
    <w:rsid w:val="00D979A0"/>
    <w:rsid w:val="00D97E91"/>
    <w:rsid w:val="00DA0837"/>
    <w:rsid w:val="00DA36B4"/>
    <w:rsid w:val="00DA5EFC"/>
    <w:rsid w:val="00DA716B"/>
    <w:rsid w:val="00DA725A"/>
    <w:rsid w:val="00DA7936"/>
    <w:rsid w:val="00DB25EC"/>
    <w:rsid w:val="00DB615B"/>
    <w:rsid w:val="00DC2661"/>
    <w:rsid w:val="00DC4205"/>
    <w:rsid w:val="00DC4858"/>
    <w:rsid w:val="00DC79F8"/>
    <w:rsid w:val="00DD0991"/>
    <w:rsid w:val="00DD1486"/>
    <w:rsid w:val="00DD4018"/>
    <w:rsid w:val="00DD4064"/>
    <w:rsid w:val="00DD4900"/>
    <w:rsid w:val="00DD5C43"/>
    <w:rsid w:val="00DD5C80"/>
    <w:rsid w:val="00DE0B8E"/>
    <w:rsid w:val="00DE566C"/>
    <w:rsid w:val="00DE77D3"/>
    <w:rsid w:val="00DF2402"/>
    <w:rsid w:val="00DF376E"/>
    <w:rsid w:val="00DF3A74"/>
    <w:rsid w:val="00DF46B5"/>
    <w:rsid w:val="00DF49CD"/>
    <w:rsid w:val="00DF61D0"/>
    <w:rsid w:val="00DF6699"/>
    <w:rsid w:val="00E00FC0"/>
    <w:rsid w:val="00E02891"/>
    <w:rsid w:val="00E05DC8"/>
    <w:rsid w:val="00E16F35"/>
    <w:rsid w:val="00E2050B"/>
    <w:rsid w:val="00E22BDE"/>
    <w:rsid w:val="00E263F4"/>
    <w:rsid w:val="00E26A8F"/>
    <w:rsid w:val="00E337B6"/>
    <w:rsid w:val="00E33D4A"/>
    <w:rsid w:val="00E35A60"/>
    <w:rsid w:val="00E3755D"/>
    <w:rsid w:val="00E40A7D"/>
    <w:rsid w:val="00E4198A"/>
    <w:rsid w:val="00E425A5"/>
    <w:rsid w:val="00E43948"/>
    <w:rsid w:val="00E4398B"/>
    <w:rsid w:val="00E4478F"/>
    <w:rsid w:val="00E501FE"/>
    <w:rsid w:val="00E50EBC"/>
    <w:rsid w:val="00E53130"/>
    <w:rsid w:val="00E53A30"/>
    <w:rsid w:val="00E53B82"/>
    <w:rsid w:val="00E55BAD"/>
    <w:rsid w:val="00E630DA"/>
    <w:rsid w:val="00E64292"/>
    <w:rsid w:val="00E66E4C"/>
    <w:rsid w:val="00E66FCC"/>
    <w:rsid w:val="00E74E4D"/>
    <w:rsid w:val="00E74F28"/>
    <w:rsid w:val="00E75AF0"/>
    <w:rsid w:val="00E75E51"/>
    <w:rsid w:val="00E75ECE"/>
    <w:rsid w:val="00E82004"/>
    <w:rsid w:val="00E82EA0"/>
    <w:rsid w:val="00E83C14"/>
    <w:rsid w:val="00E84E98"/>
    <w:rsid w:val="00E86E2A"/>
    <w:rsid w:val="00E8789F"/>
    <w:rsid w:val="00E90BAE"/>
    <w:rsid w:val="00E936BA"/>
    <w:rsid w:val="00E9453B"/>
    <w:rsid w:val="00E967F8"/>
    <w:rsid w:val="00EA0217"/>
    <w:rsid w:val="00EA0D04"/>
    <w:rsid w:val="00EA1123"/>
    <w:rsid w:val="00EA1256"/>
    <w:rsid w:val="00EA1CDE"/>
    <w:rsid w:val="00EA2DF1"/>
    <w:rsid w:val="00EA5378"/>
    <w:rsid w:val="00EA5623"/>
    <w:rsid w:val="00EA57CF"/>
    <w:rsid w:val="00EA7F7C"/>
    <w:rsid w:val="00EB1FC5"/>
    <w:rsid w:val="00EB3008"/>
    <w:rsid w:val="00EC14A2"/>
    <w:rsid w:val="00EC3578"/>
    <w:rsid w:val="00EC35AE"/>
    <w:rsid w:val="00EC5096"/>
    <w:rsid w:val="00EC7DDE"/>
    <w:rsid w:val="00ED317B"/>
    <w:rsid w:val="00ED5091"/>
    <w:rsid w:val="00ED52BA"/>
    <w:rsid w:val="00ED5EE4"/>
    <w:rsid w:val="00ED653F"/>
    <w:rsid w:val="00ED66B5"/>
    <w:rsid w:val="00ED6D45"/>
    <w:rsid w:val="00ED6ED0"/>
    <w:rsid w:val="00EE1730"/>
    <w:rsid w:val="00EE26B7"/>
    <w:rsid w:val="00EE4805"/>
    <w:rsid w:val="00EE68D6"/>
    <w:rsid w:val="00EE6B73"/>
    <w:rsid w:val="00EF086B"/>
    <w:rsid w:val="00EF1E8B"/>
    <w:rsid w:val="00EF5899"/>
    <w:rsid w:val="00EF690B"/>
    <w:rsid w:val="00F03EB2"/>
    <w:rsid w:val="00F07A4B"/>
    <w:rsid w:val="00F10F81"/>
    <w:rsid w:val="00F20C3D"/>
    <w:rsid w:val="00F20CA1"/>
    <w:rsid w:val="00F20EC8"/>
    <w:rsid w:val="00F21718"/>
    <w:rsid w:val="00F27041"/>
    <w:rsid w:val="00F316C5"/>
    <w:rsid w:val="00F32D60"/>
    <w:rsid w:val="00F44A54"/>
    <w:rsid w:val="00F45288"/>
    <w:rsid w:val="00F463CC"/>
    <w:rsid w:val="00F50000"/>
    <w:rsid w:val="00F50884"/>
    <w:rsid w:val="00F5325F"/>
    <w:rsid w:val="00F53A30"/>
    <w:rsid w:val="00F65082"/>
    <w:rsid w:val="00F66D85"/>
    <w:rsid w:val="00F67C22"/>
    <w:rsid w:val="00F7091A"/>
    <w:rsid w:val="00F70BC3"/>
    <w:rsid w:val="00F710E2"/>
    <w:rsid w:val="00F71BE5"/>
    <w:rsid w:val="00F728E7"/>
    <w:rsid w:val="00F7346E"/>
    <w:rsid w:val="00F74BD9"/>
    <w:rsid w:val="00F76CE8"/>
    <w:rsid w:val="00F82125"/>
    <w:rsid w:val="00F8392E"/>
    <w:rsid w:val="00F84D76"/>
    <w:rsid w:val="00F85292"/>
    <w:rsid w:val="00F92704"/>
    <w:rsid w:val="00F92E55"/>
    <w:rsid w:val="00F94618"/>
    <w:rsid w:val="00F9523E"/>
    <w:rsid w:val="00F956F1"/>
    <w:rsid w:val="00FA1337"/>
    <w:rsid w:val="00FA160E"/>
    <w:rsid w:val="00FA2049"/>
    <w:rsid w:val="00FA2130"/>
    <w:rsid w:val="00FA2251"/>
    <w:rsid w:val="00FA296D"/>
    <w:rsid w:val="00FA3C16"/>
    <w:rsid w:val="00FA6DD3"/>
    <w:rsid w:val="00FB05A1"/>
    <w:rsid w:val="00FB25B2"/>
    <w:rsid w:val="00FB25C5"/>
    <w:rsid w:val="00FB2BD3"/>
    <w:rsid w:val="00FB2BE8"/>
    <w:rsid w:val="00FB3D25"/>
    <w:rsid w:val="00FC026A"/>
    <w:rsid w:val="00FC768A"/>
    <w:rsid w:val="00FD1D9E"/>
    <w:rsid w:val="00FD6CA1"/>
    <w:rsid w:val="00FE2232"/>
    <w:rsid w:val="00FE3F5E"/>
    <w:rsid w:val="00FE63F8"/>
    <w:rsid w:val="00FF08BA"/>
    <w:rsid w:val="00FF0C5B"/>
    <w:rsid w:val="00FF340A"/>
    <w:rsid w:val="00FF43BE"/>
    <w:rsid w:val="00FF7088"/>
    <w:rsid w:val="00FF7DD0"/>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C01A21"/>
    <w:rPr>
      <w:sz w:val="24"/>
      <w:szCs w:val="24"/>
    </w:rPr>
  </w:style>
  <w:style w:type="paragraph" w:styleId="Heading1">
    <w:name w:val="heading 1"/>
    <w:basedOn w:val="Normal"/>
    <w:next w:val="Normal"/>
    <w:link w:val="Heading1Char"/>
    <w:autoRedefine/>
    <w:uiPriority w:val="99"/>
    <w:qFormat/>
    <w:rsid w:val="00BD2796"/>
    <w:pPr>
      <w:keepNext/>
      <w:pBdr>
        <w:top w:val="single" w:sz="4" w:space="1" w:color="auto"/>
        <w:left w:val="single" w:sz="4" w:space="4" w:color="auto"/>
        <w:bottom w:val="single" w:sz="4" w:space="1" w:color="auto"/>
        <w:right w:val="single" w:sz="4" w:space="4" w:color="auto"/>
      </w:pBdr>
      <w:jc w:val="center"/>
      <w:outlineLvl w:val="0"/>
    </w:pPr>
    <w:rPr>
      <w:rFonts w:ascii="Arial" w:hAnsi="Arial"/>
      <w:b/>
      <w:bCs/>
      <w:color w:val="0000FF"/>
      <w:sz w:val="22"/>
      <w:szCs w:val="22"/>
      <w:lang w:eastAsia="en-US"/>
    </w:rPr>
  </w:style>
  <w:style w:type="paragraph" w:styleId="Heading2">
    <w:name w:val="heading 2"/>
    <w:basedOn w:val="Normal"/>
    <w:next w:val="Normal"/>
    <w:link w:val="Heading2Char"/>
    <w:autoRedefine/>
    <w:uiPriority w:val="99"/>
    <w:qFormat/>
    <w:rsid w:val="00590EA9"/>
    <w:pPr>
      <w:keepLines/>
      <w:spacing w:before="120" w:after="120"/>
      <w:ind w:left="284"/>
      <w:outlineLvl w:val="1"/>
    </w:pPr>
    <w:rPr>
      <w:rFonts w:ascii="Calibri" w:hAnsi="Calibri" w:cs="Calibri"/>
      <w:b/>
      <w:bCs/>
      <w:i/>
      <w:iCs/>
      <w:noProof/>
      <w:color w:val="0000FF"/>
      <w:sz w:val="22"/>
      <w:szCs w:val="28"/>
      <w:lang w:eastAsia="en-US"/>
    </w:rPr>
  </w:style>
  <w:style w:type="paragraph" w:styleId="Heading3">
    <w:name w:val="heading 3"/>
    <w:basedOn w:val="Normal"/>
    <w:next w:val="Normal"/>
    <w:link w:val="Heading3Char"/>
    <w:autoRedefine/>
    <w:uiPriority w:val="99"/>
    <w:qFormat/>
    <w:rsid w:val="005334AA"/>
    <w:pPr>
      <w:keepNext/>
      <w:spacing w:before="120"/>
      <w:outlineLvl w:val="2"/>
    </w:pPr>
    <w:rPr>
      <w:rFonts w:ascii="Arial" w:hAnsi="Arial"/>
      <w:b/>
      <w:bCs/>
      <w:noProof/>
      <w:color w:val="0000FF"/>
      <w:sz w:val="20"/>
      <w:szCs w:val="20"/>
    </w:rPr>
  </w:style>
  <w:style w:type="paragraph" w:styleId="Heading4">
    <w:name w:val="heading 4"/>
    <w:basedOn w:val="Normal"/>
    <w:next w:val="Normal"/>
    <w:link w:val="Heading4Char"/>
    <w:uiPriority w:val="99"/>
    <w:qFormat/>
    <w:rsid w:val="00C01A21"/>
    <w:pPr>
      <w:keepNext/>
      <w:tabs>
        <w:tab w:val="num" w:pos="864"/>
      </w:tabs>
      <w:spacing w:before="120"/>
      <w:ind w:left="864" w:hanging="864"/>
      <w:jc w:val="both"/>
      <w:outlineLvl w:val="3"/>
    </w:pPr>
    <w:rPr>
      <w:rFonts w:ascii="Arial" w:hAnsi="Arial"/>
      <w:b/>
      <w:bCs/>
      <w:sz w:val="20"/>
      <w:szCs w:val="20"/>
    </w:rPr>
  </w:style>
  <w:style w:type="paragraph" w:styleId="Heading5">
    <w:name w:val="heading 5"/>
    <w:basedOn w:val="Normal"/>
    <w:next w:val="Normal"/>
    <w:link w:val="Heading5Char"/>
    <w:autoRedefine/>
    <w:uiPriority w:val="99"/>
    <w:qFormat/>
    <w:rsid w:val="00AD11B8"/>
    <w:pPr>
      <w:keepNext/>
      <w:keepLines/>
      <w:tabs>
        <w:tab w:val="num" w:pos="1008"/>
      </w:tabs>
      <w:spacing w:before="480" w:after="240"/>
      <w:ind w:left="1009"/>
      <w:jc w:val="center"/>
      <w:outlineLvl w:val="4"/>
    </w:pPr>
    <w:rPr>
      <w:rFonts w:ascii="Arial" w:hAnsi="Arial"/>
      <w:b/>
      <w:sz w:val="22"/>
      <w:lang w:eastAsia="en-US"/>
    </w:rPr>
  </w:style>
  <w:style w:type="paragraph" w:styleId="Heading6">
    <w:name w:val="heading 6"/>
    <w:basedOn w:val="Normal"/>
    <w:next w:val="Normal"/>
    <w:link w:val="Heading6Char"/>
    <w:uiPriority w:val="99"/>
    <w:qFormat/>
    <w:rsid w:val="00C01A21"/>
    <w:pPr>
      <w:keepNext/>
      <w:tabs>
        <w:tab w:val="num" w:pos="1152"/>
      </w:tabs>
      <w:spacing w:before="120"/>
      <w:ind w:left="1152" w:hanging="1152"/>
      <w:jc w:val="both"/>
      <w:outlineLvl w:val="5"/>
    </w:pPr>
    <w:rPr>
      <w:rFonts w:ascii="Arial" w:hAnsi="Arial"/>
      <w:b/>
      <w:sz w:val="20"/>
    </w:rPr>
  </w:style>
  <w:style w:type="paragraph" w:styleId="Heading7">
    <w:name w:val="heading 7"/>
    <w:basedOn w:val="Normal"/>
    <w:next w:val="Normal"/>
    <w:link w:val="Heading7Char"/>
    <w:uiPriority w:val="99"/>
    <w:qFormat/>
    <w:rsid w:val="00C01A21"/>
    <w:pPr>
      <w:keepNext/>
      <w:tabs>
        <w:tab w:val="num" w:pos="1296"/>
      </w:tabs>
      <w:spacing w:before="120"/>
      <w:ind w:left="1296" w:hanging="1296"/>
      <w:jc w:val="both"/>
      <w:outlineLvl w:val="6"/>
    </w:pPr>
    <w:rPr>
      <w:rFonts w:ascii="Arial" w:hAnsi="Arial"/>
      <w:b/>
      <w:bCs/>
      <w:i/>
      <w:color w:val="333333"/>
      <w:sz w:val="20"/>
    </w:rPr>
  </w:style>
  <w:style w:type="paragraph" w:styleId="Heading8">
    <w:name w:val="heading 8"/>
    <w:basedOn w:val="Normal"/>
    <w:next w:val="Normal"/>
    <w:link w:val="Heading8Char"/>
    <w:uiPriority w:val="99"/>
    <w:qFormat/>
    <w:rsid w:val="00C01A21"/>
    <w:pPr>
      <w:keepNext/>
      <w:tabs>
        <w:tab w:val="num" w:pos="1440"/>
      </w:tabs>
      <w:spacing w:before="120"/>
      <w:ind w:left="1440" w:hanging="1440"/>
      <w:jc w:val="both"/>
      <w:outlineLvl w:val="7"/>
    </w:pPr>
    <w:rPr>
      <w:rFonts w:ascii="Arial" w:hAnsi="Arial"/>
      <w:b/>
      <w:bCs/>
      <w:color w:val="333333"/>
      <w:sz w:val="20"/>
    </w:rPr>
  </w:style>
  <w:style w:type="paragraph" w:styleId="Heading9">
    <w:name w:val="heading 9"/>
    <w:basedOn w:val="Normal"/>
    <w:next w:val="Normal"/>
    <w:link w:val="Heading9Char"/>
    <w:uiPriority w:val="99"/>
    <w:qFormat/>
    <w:rsid w:val="00C01A21"/>
    <w:pPr>
      <w:keepNext/>
      <w:tabs>
        <w:tab w:val="num" w:pos="1584"/>
      </w:tabs>
      <w:spacing w:before="120"/>
      <w:ind w:left="1584" w:hanging="1584"/>
      <w:jc w:val="right"/>
      <w:outlineLvl w:val="8"/>
    </w:pPr>
    <w:rPr>
      <w:rFonts w:ascii="Arial" w:hAnsi="Arial" w:cs="Arial"/>
      <w:b/>
      <w:sz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F091B"/>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590EA9"/>
    <w:rPr>
      <w:rFonts w:ascii="Calibri" w:hAnsi="Calibri" w:cs="Calibri"/>
      <w:b/>
      <w:bCs/>
      <w:i/>
      <w:iCs/>
      <w:noProof/>
      <w:color w:val="0000FF"/>
      <w:sz w:val="28"/>
      <w:szCs w:val="28"/>
      <w:lang w:val="fr-FR" w:eastAsia="en-US" w:bidi="ar-SA"/>
    </w:rPr>
  </w:style>
  <w:style w:type="character" w:customStyle="1" w:styleId="Heading3Char">
    <w:name w:val="Heading 3 Char"/>
    <w:basedOn w:val="DefaultParagraphFont"/>
    <w:link w:val="Heading3"/>
    <w:uiPriority w:val="99"/>
    <w:semiHidden/>
    <w:locked/>
    <w:rsid w:val="006F091B"/>
    <w:rPr>
      <w:rFonts w:ascii="Cambria" w:hAnsi="Cambria" w:cs="Times New Roman"/>
      <w:b/>
      <w:bCs/>
      <w:sz w:val="26"/>
      <w:szCs w:val="26"/>
    </w:rPr>
  </w:style>
  <w:style w:type="character" w:customStyle="1" w:styleId="Heading4Char">
    <w:name w:val="Heading 4 Char"/>
    <w:basedOn w:val="DefaultParagraphFont"/>
    <w:link w:val="Heading4"/>
    <w:uiPriority w:val="99"/>
    <w:locked/>
    <w:rsid w:val="006F091B"/>
    <w:rPr>
      <w:rFonts w:ascii="Arial" w:hAnsi="Arial" w:cs="Times New Roman"/>
      <w:b/>
      <w:bCs/>
      <w:sz w:val="20"/>
      <w:szCs w:val="20"/>
    </w:rPr>
  </w:style>
  <w:style w:type="character" w:customStyle="1" w:styleId="Heading5Char">
    <w:name w:val="Heading 5 Char"/>
    <w:basedOn w:val="DefaultParagraphFont"/>
    <w:link w:val="Heading5"/>
    <w:uiPriority w:val="99"/>
    <w:locked/>
    <w:rsid w:val="00AD11B8"/>
    <w:rPr>
      <w:rFonts w:ascii="Arial" w:hAnsi="Arial" w:cs="Times New Roman"/>
      <w:b/>
      <w:sz w:val="24"/>
      <w:szCs w:val="24"/>
      <w:lang w:eastAsia="en-US"/>
    </w:rPr>
  </w:style>
  <w:style w:type="character" w:customStyle="1" w:styleId="Heading6Char">
    <w:name w:val="Heading 6 Char"/>
    <w:basedOn w:val="DefaultParagraphFont"/>
    <w:link w:val="Heading6"/>
    <w:uiPriority w:val="99"/>
    <w:locked/>
    <w:rsid w:val="006F091B"/>
    <w:rPr>
      <w:rFonts w:ascii="Arial" w:hAnsi="Arial" w:cs="Times New Roman"/>
      <w:b/>
      <w:sz w:val="24"/>
      <w:szCs w:val="24"/>
    </w:rPr>
  </w:style>
  <w:style w:type="character" w:customStyle="1" w:styleId="Heading7Char">
    <w:name w:val="Heading 7 Char"/>
    <w:basedOn w:val="DefaultParagraphFont"/>
    <w:link w:val="Heading7"/>
    <w:uiPriority w:val="99"/>
    <w:locked/>
    <w:rsid w:val="006F091B"/>
    <w:rPr>
      <w:rFonts w:ascii="Arial" w:hAnsi="Arial" w:cs="Times New Roman"/>
      <w:b/>
      <w:bCs/>
      <w:i/>
      <w:color w:val="333333"/>
      <w:sz w:val="24"/>
      <w:szCs w:val="24"/>
    </w:rPr>
  </w:style>
  <w:style w:type="character" w:customStyle="1" w:styleId="Heading8Char">
    <w:name w:val="Heading 8 Char"/>
    <w:basedOn w:val="DefaultParagraphFont"/>
    <w:link w:val="Heading8"/>
    <w:uiPriority w:val="99"/>
    <w:locked/>
    <w:rsid w:val="006F091B"/>
    <w:rPr>
      <w:rFonts w:ascii="Arial" w:hAnsi="Arial" w:cs="Times New Roman"/>
      <w:b/>
      <w:bCs/>
      <w:color w:val="333333"/>
      <w:sz w:val="24"/>
      <w:szCs w:val="24"/>
    </w:rPr>
  </w:style>
  <w:style w:type="character" w:customStyle="1" w:styleId="Heading9Char">
    <w:name w:val="Heading 9 Char"/>
    <w:basedOn w:val="DefaultParagraphFont"/>
    <w:link w:val="Heading9"/>
    <w:uiPriority w:val="99"/>
    <w:locked/>
    <w:rsid w:val="006F091B"/>
    <w:rPr>
      <w:rFonts w:ascii="Arial" w:hAnsi="Arial" w:cs="Arial"/>
      <w:b/>
      <w:sz w:val="24"/>
      <w:szCs w:val="24"/>
      <w:lang w:eastAsia="en-US"/>
    </w:rPr>
  </w:style>
  <w:style w:type="paragraph" w:styleId="BalloonText">
    <w:name w:val="Balloon Text"/>
    <w:basedOn w:val="Normal"/>
    <w:link w:val="BalloonTextChar"/>
    <w:uiPriority w:val="99"/>
    <w:rsid w:val="00765DF7"/>
    <w:rPr>
      <w:rFonts w:ascii="Tahoma" w:hAnsi="Tahoma" w:cs="Tahoma"/>
      <w:sz w:val="16"/>
      <w:szCs w:val="16"/>
    </w:rPr>
  </w:style>
  <w:style w:type="character" w:customStyle="1" w:styleId="BalloonTextChar">
    <w:name w:val="Balloon Text Char"/>
    <w:basedOn w:val="DefaultParagraphFont"/>
    <w:link w:val="BalloonText"/>
    <w:uiPriority w:val="99"/>
    <w:locked/>
    <w:rsid w:val="00765DF7"/>
    <w:rPr>
      <w:rFonts w:ascii="Tahoma" w:hAnsi="Tahoma" w:cs="Tahoma"/>
      <w:sz w:val="16"/>
      <w:szCs w:val="16"/>
    </w:rPr>
  </w:style>
  <w:style w:type="paragraph" w:styleId="Title">
    <w:name w:val="Title"/>
    <w:basedOn w:val="Normal"/>
    <w:link w:val="TitleChar"/>
    <w:uiPriority w:val="99"/>
    <w:qFormat/>
    <w:rsid w:val="00C01A21"/>
    <w:pPr>
      <w:spacing w:before="120"/>
      <w:jc w:val="center"/>
    </w:pPr>
    <w:rPr>
      <w:rFonts w:ascii="Arial" w:hAnsi="Arial"/>
      <w:b/>
      <w:bCs/>
      <w:noProof/>
      <w:sz w:val="20"/>
      <w:szCs w:val="20"/>
      <w:lang w:eastAsia="en-US"/>
    </w:rPr>
  </w:style>
  <w:style w:type="character" w:customStyle="1" w:styleId="TitleChar">
    <w:name w:val="Title Char"/>
    <w:basedOn w:val="DefaultParagraphFont"/>
    <w:link w:val="Title"/>
    <w:uiPriority w:val="99"/>
    <w:locked/>
    <w:rsid w:val="006F091B"/>
    <w:rPr>
      <w:rFonts w:ascii="Cambria" w:hAnsi="Cambria" w:cs="Times New Roman"/>
      <w:b/>
      <w:bCs/>
      <w:kern w:val="28"/>
      <w:sz w:val="32"/>
      <w:szCs w:val="32"/>
    </w:rPr>
  </w:style>
  <w:style w:type="paragraph" w:styleId="BodyTextIndent">
    <w:name w:val="Body Text Indent"/>
    <w:basedOn w:val="Normal"/>
    <w:link w:val="BodyTextIndentChar"/>
    <w:uiPriority w:val="99"/>
    <w:rsid w:val="00C01A21"/>
    <w:pPr>
      <w:ind w:left="720"/>
    </w:pPr>
    <w:rPr>
      <w:rFonts w:cs="Courier New"/>
      <w:sz w:val="20"/>
      <w:szCs w:val="20"/>
      <w:lang w:eastAsia="en-US"/>
    </w:rPr>
  </w:style>
  <w:style w:type="character" w:customStyle="1" w:styleId="BodyTextIndentChar">
    <w:name w:val="Body Text Indent Char"/>
    <w:basedOn w:val="DefaultParagraphFont"/>
    <w:link w:val="BodyTextIndent"/>
    <w:uiPriority w:val="99"/>
    <w:locked/>
    <w:rsid w:val="00A34531"/>
    <w:rPr>
      <w:rFonts w:cs="Courier New"/>
      <w:lang w:eastAsia="en-US"/>
    </w:rPr>
  </w:style>
  <w:style w:type="character" w:styleId="PageNumber">
    <w:name w:val="page number"/>
    <w:basedOn w:val="DefaultParagraphFont"/>
    <w:uiPriority w:val="99"/>
    <w:rsid w:val="00C01A21"/>
    <w:rPr>
      <w:rFonts w:cs="Times New Roman"/>
    </w:rPr>
  </w:style>
  <w:style w:type="paragraph" w:styleId="Footer">
    <w:name w:val="footer"/>
    <w:basedOn w:val="Normal"/>
    <w:link w:val="FooterChar"/>
    <w:uiPriority w:val="99"/>
    <w:rsid w:val="00C01A21"/>
    <w:pPr>
      <w:tabs>
        <w:tab w:val="center" w:pos="4536"/>
        <w:tab w:val="right" w:pos="9072"/>
      </w:tabs>
    </w:pPr>
    <w:rPr>
      <w:rFonts w:cs="Courier New"/>
      <w:noProof/>
      <w:sz w:val="20"/>
      <w:szCs w:val="20"/>
    </w:rPr>
  </w:style>
  <w:style w:type="character" w:customStyle="1" w:styleId="FooterChar">
    <w:name w:val="Footer Char"/>
    <w:basedOn w:val="DefaultParagraphFont"/>
    <w:link w:val="Footer"/>
    <w:uiPriority w:val="99"/>
    <w:locked/>
    <w:rsid w:val="001E4FD6"/>
    <w:rPr>
      <w:rFonts w:cs="Courier New"/>
      <w:noProof/>
    </w:rPr>
  </w:style>
  <w:style w:type="paragraph" w:styleId="BodyTextIndent2">
    <w:name w:val="Body Text Indent 2"/>
    <w:basedOn w:val="Normal"/>
    <w:link w:val="BodyTextIndent2Char"/>
    <w:uiPriority w:val="99"/>
    <w:rsid w:val="00C01A21"/>
    <w:pPr>
      <w:spacing w:before="120"/>
      <w:ind w:left="720"/>
      <w:jc w:val="both"/>
    </w:pPr>
    <w:rPr>
      <w:rFonts w:ascii="Arial" w:hAnsi="Arial"/>
    </w:rPr>
  </w:style>
  <w:style w:type="character" w:customStyle="1" w:styleId="BodyTextIndent2Char">
    <w:name w:val="Body Text Indent 2 Char"/>
    <w:basedOn w:val="DefaultParagraphFont"/>
    <w:link w:val="BodyTextIndent2"/>
    <w:uiPriority w:val="99"/>
    <w:semiHidden/>
    <w:locked/>
    <w:rsid w:val="006F091B"/>
    <w:rPr>
      <w:rFonts w:cs="Times New Roman"/>
      <w:sz w:val="24"/>
      <w:szCs w:val="24"/>
    </w:rPr>
  </w:style>
  <w:style w:type="paragraph" w:styleId="BodyTextIndent3">
    <w:name w:val="Body Text Indent 3"/>
    <w:basedOn w:val="Normal"/>
    <w:link w:val="BodyTextIndent3Char"/>
    <w:uiPriority w:val="99"/>
    <w:rsid w:val="00C01A21"/>
    <w:pPr>
      <w:spacing w:before="120"/>
      <w:ind w:left="720"/>
      <w:jc w:val="both"/>
    </w:pPr>
    <w:rPr>
      <w:rFonts w:ascii="Arial" w:hAnsi="Arial"/>
      <w:u w:val="single"/>
    </w:rPr>
  </w:style>
  <w:style w:type="character" w:customStyle="1" w:styleId="BodyTextIndent3Char">
    <w:name w:val="Body Text Indent 3 Char"/>
    <w:basedOn w:val="DefaultParagraphFont"/>
    <w:link w:val="BodyTextIndent3"/>
    <w:uiPriority w:val="99"/>
    <w:semiHidden/>
    <w:locked/>
    <w:rsid w:val="006F091B"/>
    <w:rPr>
      <w:rFonts w:cs="Times New Roman"/>
      <w:sz w:val="16"/>
      <w:szCs w:val="16"/>
    </w:rPr>
  </w:style>
  <w:style w:type="paragraph" w:styleId="TOC1">
    <w:name w:val="toc 1"/>
    <w:basedOn w:val="Normal"/>
    <w:next w:val="Normal"/>
    <w:autoRedefine/>
    <w:uiPriority w:val="99"/>
    <w:rsid w:val="001F3944"/>
    <w:pPr>
      <w:spacing w:before="120" w:after="120"/>
    </w:pPr>
    <w:rPr>
      <w:rFonts w:ascii="Calibri" w:hAnsi="Calibri"/>
      <w:b/>
      <w:bCs/>
      <w:caps/>
      <w:sz w:val="20"/>
    </w:rPr>
  </w:style>
  <w:style w:type="paragraph" w:styleId="TOC2">
    <w:name w:val="toc 2"/>
    <w:basedOn w:val="Normal"/>
    <w:next w:val="Normal"/>
    <w:autoRedefine/>
    <w:uiPriority w:val="99"/>
    <w:rsid w:val="003F1247"/>
    <w:pPr>
      <w:ind w:left="240"/>
    </w:pPr>
    <w:rPr>
      <w:rFonts w:ascii="Calibri" w:hAnsi="Calibri"/>
      <w:smallCaps/>
      <w:sz w:val="20"/>
    </w:rPr>
  </w:style>
  <w:style w:type="paragraph" w:styleId="TOC3">
    <w:name w:val="toc 3"/>
    <w:basedOn w:val="Normal"/>
    <w:next w:val="Normal"/>
    <w:autoRedefine/>
    <w:uiPriority w:val="99"/>
    <w:rsid w:val="003F1247"/>
    <w:pPr>
      <w:ind w:left="480"/>
    </w:pPr>
    <w:rPr>
      <w:rFonts w:ascii="Calibri" w:hAnsi="Calibri"/>
      <w:i/>
      <w:iCs/>
      <w:sz w:val="20"/>
    </w:rPr>
  </w:style>
  <w:style w:type="paragraph" w:styleId="TOC4">
    <w:name w:val="toc 4"/>
    <w:basedOn w:val="Normal"/>
    <w:next w:val="Normal"/>
    <w:autoRedefine/>
    <w:uiPriority w:val="99"/>
    <w:rsid w:val="00C01A21"/>
    <w:pPr>
      <w:ind w:left="720"/>
    </w:pPr>
    <w:rPr>
      <w:rFonts w:ascii="Calibri" w:hAnsi="Calibri"/>
      <w:sz w:val="18"/>
      <w:szCs w:val="21"/>
    </w:rPr>
  </w:style>
  <w:style w:type="paragraph" w:styleId="TOC5">
    <w:name w:val="toc 5"/>
    <w:basedOn w:val="Normal"/>
    <w:next w:val="Normal"/>
    <w:autoRedefine/>
    <w:uiPriority w:val="99"/>
    <w:rsid w:val="00C01A21"/>
    <w:pPr>
      <w:ind w:left="960"/>
    </w:pPr>
    <w:rPr>
      <w:rFonts w:ascii="Calibri" w:hAnsi="Calibri"/>
      <w:sz w:val="18"/>
      <w:szCs w:val="21"/>
    </w:rPr>
  </w:style>
  <w:style w:type="paragraph" w:styleId="TOC6">
    <w:name w:val="toc 6"/>
    <w:basedOn w:val="Normal"/>
    <w:next w:val="Normal"/>
    <w:autoRedefine/>
    <w:uiPriority w:val="99"/>
    <w:rsid w:val="00C01A21"/>
    <w:pPr>
      <w:ind w:left="1200"/>
    </w:pPr>
    <w:rPr>
      <w:rFonts w:ascii="Calibri" w:hAnsi="Calibri"/>
      <w:sz w:val="18"/>
      <w:szCs w:val="21"/>
    </w:rPr>
  </w:style>
  <w:style w:type="paragraph" w:styleId="TOC7">
    <w:name w:val="toc 7"/>
    <w:basedOn w:val="Normal"/>
    <w:next w:val="Normal"/>
    <w:autoRedefine/>
    <w:uiPriority w:val="99"/>
    <w:rsid w:val="00C01A21"/>
    <w:pPr>
      <w:ind w:left="1440"/>
    </w:pPr>
    <w:rPr>
      <w:rFonts w:ascii="Calibri" w:hAnsi="Calibri"/>
      <w:sz w:val="18"/>
      <w:szCs w:val="21"/>
    </w:rPr>
  </w:style>
  <w:style w:type="paragraph" w:styleId="TOC8">
    <w:name w:val="toc 8"/>
    <w:basedOn w:val="Normal"/>
    <w:next w:val="Normal"/>
    <w:autoRedefine/>
    <w:uiPriority w:val="99"/>
    <w:rsid w:val="00C01A21"/>
    <w:pPr>
      <w:ind w:left="1680"/>
    </w:pPr>
    <w:rPr>
      <w:rFonts w:ascii="Calibri" w:hAnsi="Calibri"/>
      <w:sz w:val="18"/>
      <w:szCs w:val="21"/>
    </w:rPr>
  </w:style>
  <w:style w:type="paragraph" w:styleId="TOC9">
    <w:name w:val="toc 9"/>
    <w:basedOn w:val="Normal"/>
    <w:next w:val="Normal"/>
    <w:autoRedefine/>
    <w:uiPriority w:val="99"/>
    <w:rsid w:val="00C01A21"/>
    <w:pPr>
      <w:ind w:left="1920"/>
    </w:pPr>
    <w:rPr>
      <w:rFonts w:ascii="Calibri" w:hAnsi="Calibri"/>
      <w:sz w:val="18"/>
      <w:szCs w:val="21"/>
    </w:rPr>
  </w:style>
  <w:style w:type="character" w:styleId="FollowedHyperlink">
    <w:name w:val="FollowedHyperlink"/>
    <w:basedOn w:val="DefaultParagraphFont"/>
    <w:uiPriority w:val="99"/>
    <w:rsid w:val="00C01A21"/>
    <w:rPr>
      <w:rFonts w:cs="Times New Roman"/>
      <w:color w:val="800080"/>
      <w:u w:val="single"/>
    </w:rPr>
  </w:style>
  <w:style w:type="character" w:styleId="Hyperlink">
    <w:name w:val="Hyperlink"/>
    <w:basedOn w:val="DefaultParagraphFont"/>
    <w:uiPriority w:val="99"/>
    <w:rsid w:val="00C01A21"/>
    <w:rPr>
      <w:rFonts w:cs="Times New Roman"/>
      <w:color w:val="0000FF"/>
      <w:u w:val="single"/>
    </w:rPr>
  </w:style>
  <w:style w:type="paragraph" w:styleId="DocumentMap">
    <w:name w:val="Document Map"/>
    <w:basedOn w:val="Normal"/>
    <w:link w:val="DocumentMapChar"/>
    <w:uiPriority w:val="99"/>
    <w:semiHidden/>
    <w:rsid w:val="00C01A21"/>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6F091B"/>
    <w:rPr>
      <w:rFonts w:cs="Times New Roman"/>
      <w:sz w:val="2"/>
    </w:rPr>
  </w:style>
  <w:style w:type="paragraph" w:styleId="List2">
    <w:name w:val="List 2"/>
    <w:basedOn w:val="Normal"/>
    <w:uiPriority w:val="99"/>
    <w:rsid w:val="00C01A21"/>
    <w:pPr>
      <w:ind w:left="566" w:hanging="283"/>
    </w:pPr>
  </w:style>
  <w:style w:type="paragraph" w:styleId="List3">
    <w:name w:val="List 3"/>
    <w:basedOn w:val="Normal"/>
    <w:uiPriority w:val="99"/>
    <w:rsid w:val="00C01A21"/>
    <w:pPr>
      <w:ind w:left="849" w:hanging="283"/>
    </w:pPr>
  </w:style>
  <w:style w:type="paragraph" w:styleId="List4">
    <w:name w:val="List 4"/>
    <w:basedOn w:val="Normal"/>
    <w:uiPriority w:val="99"/>
    <w:rsid w:val="00C01A21"/>
    <w:pPr>
      <w:ind w:left="1132" w:hanging="283"/>
    </w:pPr>
  </w:style>
  <w:style w:type="paragraph" w:styleId="Salutation">
    <w:name w:val="Salutation"/>
    <w:basedOn w:val="Normal"/>
    <w:next w:val="Normal"/>
    <w:link w:val="SalutationChar"/>
    <w:uiPriority w:val="99"/>
    <w:rsid w:val="00C01A21"/>
  </w:style>
  <w:style w:type="character" w:customStyle="1" w:styleId="SalutationChar">
    <w:name w:val="Salutation Char"/>
    <w:basedOn w:val="DefaultParagraphFont"/>
    <w:link w:val="Salutation"/>
    <w:uiPriority w:val="99"/>
    <w:semiHidden/>
    <w:locked/>
    <w:rsid w:val="006F091B"/>
    <w:rPr>
      <w:rFonts w:cs="Times New Roman"/>
      <w:sz w:val="24"/>
      <w:szCs w:val="24"/>
    </w:rPr>
  </w:style>
  <w:style w:type="paragraph" w:styleId="ListBullet">
    <w:name w:val="List Bullet"/>
    <w:basedOn w:val="Normal"/>
    <w:autoRedefine/>
    <w:uiPriority w:val="99"/>
    <w:rsid w:val="00C01A21"/>
    <w:pPr>
      <w:tabs>
        <w:tab w:val="num" w:pos="360"/>
      </w:tabs>
      <w:ind w:left="360" w:hanging="360"/>
    </w:pPr>
  </w:style>
  <w:style w:type="paragraph" w:styleId="ListBullet2">
    <w:name w:val="List Bullet 2"/>
    <w:basedOn w:val="Normal"/>
    <w:autoRedefine/>
    <w:uiPriority w:val="99"/>
    <w:rsid w:val="00C01A21"/>
    <w:pPr>
      <w:tabs>
        <w:tab w:val="num" w:pos="643"/>
      </w:tabs>
      <w:ind w:left="643" w:hanging="360"/>
    </w:pPr>
  </w:style>
  <w:style w:type="paragraph" w:styleId="ListBullet3">
    <w:name w:val="List Bullet 3"/>
    <w:basedOn w:val="Normal"/>
    <w:autoRedefine/>
    <w:uiPriority w:val="99"/>
    <w:rsid w:val="00C01A21"/>
    <w:pPr>
      <w:tabs>
        <w:tab w:val="num" w:pos="926"/>
      </w:tabs>
      <w:ind w:left="926" w:hanging="360"/>
    </w:pPr>
  </w:style>
  <w:style w:type="paragraph" w:styleId="ListBullet4">
    <w:name w:val="List Bullet 4"/>
    <w:basedOn w:val="Normal"/>
    <w:autoRedefine/>
    <w:uiPriority w:val="99"/>
    <w:rsid w:val="00C01A21"/>
    <w:pPr>
      <w:tabs>
        <w:tab w:val="num" w:pos="1209"/>
      </w:tabs>
      <w:ind w:left="1209" w:hanging="360"/>
    </w:pPr>
  </w:style>
  <w:style w:type="paragraph" w:styleId="ListBullet5">
    <w:name w:val="List Bullet 5"/>
    <w:basedOn w:val="Normal"/>
    <w:autoRedefine/>
    <w:uiPriority w:val="99"/>
    <w:rsid w:val="00C01A21"/>
    <w:pPr>
      <w:tabs>
        <w:tab w:val="num" w:pos="1492"/>
      </w:tabs>
      <w:ind w:left="1492" w:hanging="360"/>
    </w:pPr>
  </w:style>
  <w:style w:type="paragraph" w:styleId="ListContinue2">
    <w:name w:val="List Continue 2"/>
    <w:basedOn w:val="Normal"/>
    <w:uiPriority w:val="99"/>
    <w:rsid w:val="00C01A21"/>
    <w:pPr>
      <w:spacing w:after="120"/>
      <w:ind w:left="566"/>
    </w:pPr>
  </w:style>
  <w:style w:type="paragraph" w:styleId="ListContinue3">
    <w:name w:val="List Continue 3"/>
    <w:basedOn w:val="Normal"/>
    <w:uiPriority w:val="99"/>
    <w:rsid w:val="00C01A21"/>
    <w:pPr>
      <w:spacing w:after="120"/>
      <w:ind w:left="849"/>
    </w:pPr>
  </w:style>
  <w:style w:type="paragraph" w:styleId="ListContinue4">
    <w:name w:val="List Continue 4"/>
    <w:basedOn w:val="Normal"/>
    <w:uiPriority w:val="99"/>
    <w:rsid w:val="00C01A21"/>
    <w:pPr>
      <w:spacing w:after="120"/>
      <w:ind w:left="1132"/>
    </w:pPr>
  </w:style>
  <w:style w:type="paragraph" w:styleId="BodyText">
    <w:name w:val="Body Text"/>
    <w:basedOn w:val="Normal"/>
    <w:link w:val="BodyTextChar"/>
    <w:uiPriority w:val="99"/>
    <w:rsid w:val="00C01A21"/>
    <w:pPr>
      <w:spacing w:after="120"/>
    </w:pPr>
  </w:style>
  <w:style w:type="character" w:customStyle="1" w:styleId="BodyTextChar">
    <w:name w:val="Body Text Char"/>
    <w:basedOn w:val="DefaultParagraphFont"/>
    <w:link w:val="BodyText"/>
    <w:uiPriority w:val="99"/>
    <w:semiHidden/>
    <w:locked/>
    <w:rsid w:val="006F091B"/>
    <w:rPr>
      <w:rFonts w:cs="Times New Roman"/>
      <w:sz w:val="24"/>
      <w:szCs w:val="24"/>
    </w:rPr>
  </w:style>
  <w:style w:type="paragraph" w:styleId="Subtitle">
    <w:name w:val="Subtitle"/>
    <w:basedOn w:val="Normal"/>
    <w:link w:val="SubtitleChar"/>
    <w:uiPriority w:val="99"/>
    <w:qFormat/>
    <w:rsid w:val="00C01A21"/>
    <w:pPr>
      <w:spacing w:after="60"/>
      <w:jc w:val="center"/>
      <w:outlineLvl w:val="1"/>
    </w:pPr>
    <w:rPr>
      <w:rFonts w:ascii="Arial" w:hAnsi="Arial" w:cs="Arial"/>
    </w:rPr>
  </w:style>
  <w:style w:type="character" w:customStyle="1" w:styleId="SubtitleChar">
    <w:name w:val="Subtitle Char"/>
    <w:basedOn w:val="DefaultParagraphFont"/>
    <w:link w:val="Subtitle"/>
    <w:uiPriority w:val="99"/>
    <w:locked/>
    <w:rsid w:val="006F091B"/>
    <w:rPr>
      <w:rFonts w:ascii="Cambria" w:hAnsi="Cambria" w:cs="Times New Roman"/>
      <w:sz w:val="24"/>
      <w:szCs w:val="24"/>
    </w:rPr>
  </w:style>
  <w:style w:type="paragraph" w:styleId="NormalIndent">
    <w:name w:val="Normal Indent"/>
    <w:basedOn w:val="Normal"/>
    <w:uiPriority w:val="99"/>
    <w:rsid w:val="00C01A21"/>
    <w:pPr>
      <w:ind w:left="708"/>
    </w:pPr>
  </w:style>
  <w:style w:type="paragraph" w:customStyle="1" w:styleId="Adressedelexpditeursimplifie">
    <w:name w:val="Adresse de l'expéditeur simplifiée"/>
    <w:basedOn w:val="Normal"/>
    <w:uiPriority w:val="99"/>
    <w:rsid w:val="00C01A21"/>
  </w:style>
  <w:style w:type="paragraph" w:styleId="Signature">
    <w:name w:val="Signature"/>
    <w:basedOn w:val="Normal"/>
    <w:link w:val="SignatureChar"/>
    <w:uiPriority w:val="99"/>
    <w:rsid w:val="00C01A21"/>
    <w:pPr>
      <w:ind w:left="4252"/>
    </w:pPr>
  </w:style>
  <w:style w:type="character" w:customStyle="1" w:styleId="SignatureChar">
    <w:name w:val="Signature Char"/>
    <w:basedOn w:val="DefaultParagraphFont"/>
    <w:link w:val="Signature"/>
    <w:uiPriority w:val="99"/>
    <w:semiHidden/>
    <w:locked/>
    <w:rsid w:val="006F091B"/>
    <w:rPr>
      <w:rFonts w:cs="Times New Roman"/>
      <w:sz w:val="24"/>
      <w:szCs w:val="24"/>
    </w:rPr>
  </w:style>
  <w:style w:type="paragraph" w:customStyle="1" w:styleId="LignePo">
    <w:name w:val="Ligne Po"/>
    <w:basedOn w:val="Signature"/>
    <w:uiPriority w:val="99"/>
    <w:rsid w:val="00C01A21"/>
  </w:style>
  <w:style w:type="paragraph" w:styleId="BodyText2">
    <w:name w:val="Body Text 2"/>
    <w:basedOn w:val="Normal"/>
    <w:link w:val="BodyText2Char"/>
    <w:uiPriority w:val="99"/>
    <w:rsid w:val="00C01A21"/>
    <w:pPr>
      <w:spacing w:before="120"/>
      <w:jc w:val="both"/>
    </w:pPr>
    <w:rPr>
      <w:rFonts w:ascii="Arial" w:hAnsi="Arial"/>
      <w:sz w:val="20"/>
    </w:rPr>
  </w:style>
  <w:style w:type="character" w:customStyle="1" w:styleId="BodyText2Char">
    <w:name w:val="Body Text 2 Char"/>
    <w:basedOn w:val="DefaultParagraphFont"/>
    <w:link w:val="BodyText2"/>
    <w:uiPriority w:val="99"/>
    <w:semiHidden/>
    <w:locked/>
    <w:rsid w:val="006F091B"/>
    <w:rPr>
      <w:rFonts w:cs="Times New Roman"/>
      <w:sz w:val="24"/>
      <w:szCs w:val="24"/>
    </w:rPr>
  </w:style>
  <w:style w:type="paragraph" w:customStyle="1" w:styleId="Normal-DRRT">
    <w:name w:val="Normal - DRRT"/>
    <w:basedOn w:val="Normal"/>
    <w:next w:val="Normal"/>
    <w:uiPriority w:val="99"/>
    <w:rsid w:val="00C01A21"/>
    <w:pPr>
      <w:jc w:val="both"/>
    </w:pPr>
    <w:rPr>
      <w:rFonts w:ascii="Book Antiqua" w:hAnsi="Book Antiqua"/>
    </w:rPr>
  </w:style>
  <w:style w:type="paragraph" w:customStyle="1" w:styleId="Corpsdetexte31">
    <w:name w:val="Corps de texte 31"/>
    <w:basedOn w:val="Normal"/>
    <w:uiPriority w:val="99"/>
    <w:rsid w:val="00C01A21"/>
    <w:pPr>
      <w:tabs>
        <w:tab w:val="left" w:pos="2835"/>
      </w:tabs>
      <w:jc w:val="both"/>
    </w:pPr>
    <w:rPr>
      <w:rFonts w:ascii="Arial" w:hAnsi="Arial"/>
      <w:b/>
      <w:bCs/>
      <w:lang w:val="fr-CA"/>
    </w:rPr>
  </w:style>
  <w:style w:type="paragraph" w:styleId="BodyText3">
    <w:name w:val="Body Text 3"/>
    <w:basedOn w:val="Normal"/>
    <w:link w:val="BodyText3Char"/>
    <w:uiPriority w:val="99"/>
    <w:rsid w:val="00C01A21"/>
    <w:pPr>
      <w:keepNext/>
      <w:spacing w:before="120"/>
      <w:jc w:val="both"/>
    </w:pPr>
    <w:rPr>
      <w:rFonts w:ascii="Arial" w:hAnsi="Arial"/>
      <w:color w:val="333333"/>
      <w:sz w:val="20"/>
    </w:rPr>
  </w:style>
  <w:style w:type="character" w:customStyle="1" w:styleId="BodyText3Char">
    <w:name w:val="Body Text 3 Char"/>
    <w:basedOn w:val="DefaultParagraphFont"/>
    <w:link w:val="BodyText3"/>
    <w:uiPriority w:val="99"/>
    <w:semiHidden/>
    <w:locked/>
    <w:rsid w:val="006F091B"/>
    <w:rPr>
      <w:rFonts w:cs="Times New Roman"/>
      <w:sz w:val="16"/>
      <w:szCs w:val="16"/>
    </w:rPr>
  </w:style>
  <w:style w:type="paragraph" w:styleId="BlockText">
    <w:name w:val="Block Text"/>
    <w:basedOn w:val="Normal"/>
    <w:uiPriority w:val="99"/>
    <w:rsid w:val="00C01A21"/>
    <w:pPr>
      <w:spacing w:before="120"/>
      <w:ind w:left="1800" w:right="1289"/>
      <w:jc w:val="center"/>
    </w:pPr>
    <w:rPr>
      <w:rFonts w:ascii="Arial" w:hAnsi="Arial" w:cs="Arial"/>
      <w:b/>
      <w:sz w:val="20"/>
      <w:lang w:eastAsia="en-US"/>
    </w:rPr>
  </w:style>
  <w:style w:type="paragraph" w:styleId="Header">
    <w:name w:val="header"/>
    <w:basedOn w:val="Normal"/>
    <w:link w:val="HeaderChar"/>
    <w:uiPriority w:val="99"/>
    <w:rsid w:val="00C01A21"/>
    <w:pPr>
      <w:tabs>
        <w:tab w:val="center" w:pos="4536"/>
        <w:tab w:val="right" w:pos="9072"/>
      </w:tabs>
    </w:pPr>
  </w:style>
  <w:style w:type="character" w:customStyle="1" w:styleId="HeaderChar">
    <w:name w:val="Header Char"/>
    <w:basedOn w:val="DefaultParagraphFont"/>
    <w:link w:val="Header"/>
    <w:uiPriority w:val="99"/>
    <w:semiHidden/>
    <w:locked/>
    <w:rsid w:val="006F091B"/>
    <w:rPr>
      <w:rFonts w:cs="Times New Roman"/>
      <w:sz w:val="24"/>
      <w:szCs w:val="24"/>
    </w:rPr>
  </w:style>
  <w:style w:type="paragraph" w:customStyle="1" w:styleId="1CarCarCarCar">
    <w:name w:val="1 Car Car Car Car"/>
    <w:basedOn w:val="Normal"/>
    <w:uiPriority w:val="99"/>
    <w:rsid w:val="00C327DE"/>
    <w:pPr>
      <w:spacing w:after="160" w:line="240" w:lineRule="exact"/>
    </w:pPr>
    <w:rPr>
      <w:rFonts w:ascii="Verdana" w:hAnsi="Verdana"/>
      <w:sz w:val="20"/>
      <w:szCs w:val="20"/>
      <w:lang w:val="en-US" w:eastAsia="en-US"/>
    </w:rPr>
  </w:style>
  <w:style w:type="paragraph" w:styleId="ListParagraph">
    <w:name w:val="List Paragraph"/>
    <w:basedOn w:val="Normal"/>
    <w:uiPriority w:val="99"/>
    <w:qFormat/>
    <w:rsid w:val="0091303B"/>
    <w:pPr>
      <w:ind w:left="708"/>
    </w:pPr>
  </w:style>
  <w:style w:type="character" w:styleId="CommentReference">
    <w:name w:val="annotation reference"/>
    <w:basedOn w:val="DefaultParagraphFont"/>
    <w:uiPriority w:val="99"/>
    <w:rsid w:val="00765DF7"/>
    <w:rPr>
      <w:rFonts w:cs="Times New Roman"/>
      <w:sz w:val="16"/>
      <w:szCs w:val="16"/>
    </w:rPr>
  </w:style>
  <w:style w:type="paragraph" w:styleId="CommentText">
    <w:name w:val="annotation text"/>
    <w:basedOn w:val="Normal"/>
    <w:link w:val="CommentTextChar"/>
    <w:uiPriority w:val="99"/>
    <w:rsid w:val="00765DF7"/>
    <w:rPr>
      <w:sz w:val="20"/>
      <w:szCs w:val="20"/>
    </w:rPr>
  </w:style>
  <w:style w:type="character" w:customStyle="1" w:styleId="CommentTextChar">
    <w:name w:val="Comment Text Char"/>
    <w:basedOn w:val="DefaultParagraphFont"/>
    <w:link w:val="CommentText"/>
    <w:uiPriority w:val="99"/>
    <w:locked/>
    <w:rsid w:val="00765DF7"/>
    <w:rPr>
      <w:rFonts w:cs="Times New Roman"/>
    </w:rPr>
  </w:style>
  <w:style w:type="paragraph" w:styleId="CommentSubject">
    <w:name w:val="annotation subject"/>
    <w:basedOn w:val="CommentText"/>
    <w:next w:val="CommentText"/>
    <w:link w:val="CommentSubjectChar"/>
    <w:uiPriority w:val="99"/>
    <w:rsid w:val="00765DF7"/>
    <w:rPr>
      <w:b/>
      <w:bCs/>
    </w:rPr>
  </w:style>
  <w:style w:type="character" w:customStyle="1" w:styleId="CommentSubjectChar">
    <w:name w:val="Comment Subject Char"/>
    <w:basedOn w:val="CommentTextChar"/>
    <w:link w:val="CommentSubject"/>
    <w:uiPriority w:val="99"/>
    <w:locked/>
    <w:rsid w:val="00765DF7"/>
    <w:rPr>
      <w:b/>
      <w:bCs/>
    </w:rPr>
  </w:style>
  <w:style w:type="paragraph" w:styleId="Revision">
    <w:name w:val="Revision"/>
    <w:hidden/>
    <w:uiPriority w:val="99"/>
    <w:semiHidden/>
    <w:rsid w:val="00765DF7"/>
    <w:rPr>
      <w:sz w:val="24"/>
      <w:szCs w:val="24"/>
    </w:rPr>
  </w:style>
  <w:style w:type="paragraph" w:styleId="TOCHeading">
    <w:name w:val="TOC Heading"/>
    <w:basedOn w:val="Heading1"/>
    <w:next w:val="Normal"/>
    <w:uiPriority w:val="99"/>
    <w:qFormat/>
    <w:rsid w:val="00A315A3"/>
    <w:pPr>
      <w:keepLines/>
      <w:pBdr>
        <w:top w:val="none" w:sz="0" w:space="0" w:color="auto"/>
        <w:left w:val="none" w:sz="0" w:space="0" w:color="auto"/>
        <w:bottom w:val="none" w:sz="0" w:space="0" w:color="auto"/>
        <w:right w:val="none" w:sz="0" w:space="0" w:color="auto"/>
      </w:pBdr>
      <w:spacing w:before="480" w:line="276" w:lineRule="auto"/>
      <w:jc w:val="left"/>
      <w:outlineLvl w:val="9"/>
    </w:pPr>
    <w:rPr>
      <w:rFonts w:ascii="Cambria" w:hAnsi="Cambria"/>
      <w:color w:val="365F91"/>
      <w:sz w:val="28"/>
      <w:szCs w:val="28"/>
    </w:rPr>
  </w:style>
  <w:style w:type="paragraph" w:customStyle="1" w:styleId="Default">
    <w:name w:val="Default"/>
    <w:uiPriority w:val="99"/>
    <w:rsid w:val="000B1C49"/>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autoRedefine/>
    <w:uiPriority w:val="99"/>
    <w:rsid w:val="001E4FD6"/>
    <w:pPr>
      <w:keepLines/>
    </w:pPr>
    <w:rPr>
      <w:rFonts w:ascii="Arial" w:hAnsi="Arial" w:cs="Arial"/>
      <w:sz w:val="16"/>
    </w:rPr>
  </w:style>
  <w:style w:type="character" w:customStyle="1" w:styleId="FootnoteTextChar">
    <w:name w:val="Footnote Text Char"/>
    <w:basedOn w:val="DefaultParagraphFont"/>
    <w:link w:val="FootnoteText"/>
    <w:uiPriority w:val="99"/>
    <w:locked/>
    <w:rsid w:val="001E4FD6"/>
    <w:rPr>
      <w:rFonts w:ascii="Arial" w:hAnsi="Arial" w:cs="Arial"/>
      <w:sz w:val="24"/>
      <w:szCs w:val="24"/>
    </w:rPr>
  </w:style>
  <w:style w:type="character" w:styleId="FootnoteReference">
    <w:name w:val="footnote reference"/>
    <w:basedOn w:val="DefaultParagraphFont"/>
    <w:uiPriority w:val="99"/>
    <w:rsid w:val="001E4FD6"/>
    <w:rPr>
      <w:rFonts w:cs="Times New Roman"/>
      <w:vertAlign w:val="superscript"/>
    </w:rPr>
  </w:style>
  <w:style w:type="table" w:styleId="TableGrid">
    <w:name w:val="Table Grid"/>
    <w:basedOn w:val="TableNormal"/>
    <w:uiPriority w:val="99"/>
    <w:rsid w:val="001E4FD6"/>
    <w:pPr>
      <w:spacing w:before="120"/>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Char Char1"/>
    <w:basedOn w:val="Normal"/>
    <w:uiPriority w:val="99"/>
    <w:rsid w:val="00A34531"/>
    <w:pPr>
      <w:spacing w:after="160" w:line="240" w:lineRule="exact"/>
    </w:pPr>
    <w:rPr>
      <w:rFonts w:ascii="Verdana" w:hAnsi="Verdana"/>
      <w:sz w:val="20"/>
      <w:szCs w:val="20"/>
      <w:lang w:val="en-US" w:eastAsia="en-US"/>
    </w:rPr>
  </w:style>
  <w:style w:type="paragraph" w:customStyle="1" w:styleId="ARTICLEGRASSOULIGN">
    <w:name w:val="ARTICLE.GRAS.SOULIGN"/>
    <w:uiPriority w:val="99"/>
    <w:rsid w:val="00706D3C"/>
    <w:pPr>
      <w:widowControl w:val="0"/>
      <w:overflowPunct w:val="0"/>
      <w:autoSpaceDE w:val="0"/>
      <w:autoSpaceDN w:val="0"/>
      <w:adjustRightInd w:val="0"/>
      <w:spacing w:before="120" w:line="240" w:lineRule="exact"/>
      <w:ind w:right="1077" w:hanging="1077"/>
      <w:textAlignment w:val="baseline"/>
    </w:pPr>
    <w:rPr>
      <w:rFonts w:ascii="Helv" w:hAnsi="Helv"/>
      <w:b/>
      <w:bCs/>
      <w:sz w:val="16"/>
      <w:szCs w:val="16"/>
      <w:lang w:eastAsia="en-US"/>
    </w:rPr>
  </w:style>
  <w:style w:type="paragraph" w:customStyle="1" w:styleId="PolicepardfautParaCar">
    <w:name w:val="Police par défaut Para Car"/>
    <w:basedOn w:val="Normal"/>
    <w:next w:val="Heading1"/>
    <w:autoRedefine/>
    <w:uiPriority w:val="99"/>
    <w:rsid w:val="00E50EBC"/>
    <w:pPr>
      <w:jc w:val="both"/>
    </w:pPr>
    <w:rPr>
      <w:rFonts w:ascii="Arial" w:hAnsi="Arial" w:cs="Arial"/>
      <w:sz w:val="22"/>
      <w:szCs w:val="22"/>
    </w:rPr>
  </w:style>
  <w:style w:type="paragraph" w:customStyle="1" w:styleId="TOC1TOC1">
    <w:name w:val="TOC 1.TOC.1"/>
    <w:basedOn w:val="Normal"/>
    <w:next w:val="Normal"/>
    <w:uiPriority w:val="99"/>
    <w:rsid w:val="00F956F1"/>
    <w:pPr>
      <w:tabs>
        <w:tab w:val="right" w:leader="dot" w:pos="8788"/>
      </w:tabs>
    </w:pPr>
    <w:rPr>
      <w:rFonts w:ascii="Arial" w:hAnsi="Arial" w:cs="Arial"/>
      <w:caps/>
      <w:sz w:val="20"/>
      <w:szCs w:val="20"/>
    </w:rPr>
  </w:style>
  <w:style w:type="paragraph" w:customStyle="1" w:styleId="Bullet1">
    <w:name w:val="Bullet_1"/>
    <w:basedOn w:val="Normal"/>
    <w:uiPriority w:val="99"/>
    <w:rsid w:val="005D2810"/>
    <w:pPr>
      <w:ind w:left="283" w:hanging="283"/>
      <w:jc w:val="both"/>
    </w:pPr>
    <w:rPr>
      <w:rFonts w:ascii="Arial" w:hAnsi="Arial" w:cs="Arial"/>
      <w:sz w:val="20"/>
      <w:szCs w:val="20"/>
      <w:lang w:eastAsia="en-US"/>
    </w:rPr>
  </w:style>
</w:styles>
</file>

<file path=word/webSettings.xml><?xml version="1.0" encoding="utf-8"?>
<w:webSettings xmlns:r="http://schemas.openxmlformats.org/officeDocument/2006/relationships" xmlns:w="http://schemas.openxmlformats.org/wordprocessingml/2006/main">
  <w:divs>
    <w:div w:id="612172153">
      <w:marLeft w:val="0"/>
      <w:marRight w:val="0"/>
      <w:marTop w:val="0"/>
      <w:marBottom w:val="0"/>
      <w:divBdr>
        <w:top w:val="none" w:sz="0" w:space="0" w:color="auto"/>
        <w:left w:val="none" w:sz="0" w:space="0" w:color="auto"/>
        <w:bottom w:val="none" w:sz="0" w:space="0" w:color="auto"/>
        <w:right w:val="none" w:sz="0" w:space="0" w:color="auto"/>
      </w:divBdr>
    </w:div>
    <w:div w:id="612172154">
      <w:marLeft w:val="0"/>
      <w:marRight w:val="0"/>
      <w:marTop w:val="0"/>
      <w:marBottom w:val="0"/>
      <w:divBdr>
        <w:top w:val="none" w:sz="0" w:space="0" w:color="auto"/>
        <w:left w:val="none" w:sz="0" w:space="0" w:color="auto"/>
        <w:bottom w:val="none" w:sz="0" w:space="0" w:color="auto"/>
        <w:right w:val="none" w:sz="0" w:space="0" w:color="auto"/>
      </w:divBdr>
    </w:div>
    <w:div w:id="612172155">
      <w:marLeft w:val="0"/>
      <w:marRight w:val="0"/>
      <w:marTop w:val="0"/>
      <w:marBottom w:val="0"/>
      <w:divBdr>
        <w:top w:val="none" w:sz="0" w:space="0" w:color="auto"/>
        <w:left w:val="none" w:sz="0" w:space="0" w:color="auto"/>
        <w:bottom w:val="none" w:sz="0" w:space="0" w:color="auto"/>
        <w:right w:val="none" w:sz="0" w:space="0" w:color="auto"/>
      </w:divBdr>
    </w:div>
    <w:div w:id="612172156">
      <w:marLeft w:val="0"/>
      <w:marRight w:val="0"/>
      <w:marTop w:val="0"/>
      <w:marBottom w:val="0"/>
      <w:divBdr>
        <w:top w:val="none" w:sz="0" w:space="0" w:color="auto"/>
        <w:left w:val="none" w:sz="0" w:space="0" w:color="auto"/>
        <w:bottom w:val="none" w:sz="0" w:space="0" w:color="auto"/>
        <w:right w:val="none" w:sz="0" w:space="0" w:color="auto"/>
      </w:divBdr>
    </w:div>
    <w:div w:id="6121721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achats-eau.onee.ma/download_documentgeneral.php?id_doc=4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11</Pages>
  <Words>3987</Words>
  <Characters>21933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CCAFG Travx V3</dc:title>
  <dc:subject/>
  <dc:creator>DAM/N</dc:creator>
  <cp:keywords/>
  <dc:description/>
  <cp:lastModifiedBy>saslimani</cp:lastModifiedBy>
  <cp:revision>18</cp:revision>
  <cp:lastPrinted>2014-02-26T09:15:00Z</cp:lastPrinted>
  <dcterms:created xsi:type="dcterms:W3CDTF">2014-02-05T12:15:00Z</dcterms:created>
  <dcterms:modified xsi:type="dcterms:W3CDTF">2014-02-27T10:21:00Z</dcterms:modified>
</cp:coreProperties>
</file>